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08" w:wrap="around" w:vAnchor="text" w:hAnchor="margin" w:x="4620" w:y="16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0pt;">
            <v:imagedata r:id="rId5" r:href="rId6"/>
          </v:shape>
        </w:pict>
      </w:r>
    </w:p>
    <w:p>
      <w:pPr>
        <w:widowControl w:val="0"/>
        <w:rPr>
          <w:sz w:val="2"/>
          <w:szCs w:val="2"/>
        </w:rPr>
      </w:pPr>
    </w:p>
    <w:p>
      <w:pPr>
        <w:pStyle w:val="Style3"/>
        <w:widowControl w:val="0"/>
        <w:keepNext w:val="0"/>
        <w:keepLines w:val="0"/>
        <w:shd w:val="clear" w:color="auto" w:fill="auto"/>
        <w:bidi w:val="0"/>
        <w:spacing w:before="0" w:after="24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81"/>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0"/>
        <w:ind w:left="0" w:right="0" w:firstLine="0"/>
      </w:pPr>
      <w:r>
        <w:rPr>
          <w:rStyle w:val="CharStyle8"/>
        </w:rPr>
        <w:t xml:space="preserve">ул. Московская, д. 55, г. Казань,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3"/>
        <w:widowControl w:val="0"/>
        <w:keepNext w:val="0"/>
        <w:keepLines w:val="0"/>
        <w:shd w:val="clear" w:color="auto" w:fill="auto"/>
        <w:bidi w:val="0"/>
        <w:spacing w:before="0" w:after="240" w:line="281" w:lineRule="exact"/>
        <w:ind w:left="0" w:right="0" w:firstLine="0"/>
      </w:pPr>
      <w:r>
        <w:rPr>
          <w:rStyle w:val="CharStyle5"/>
          <w:b/>
          <w:bCs/>
        </w:rPr>
        <w:t>МОНОПОЛИЯГЭ КАРШЫ ФЕДЕРАЛЬ ХЕЗМЭТ</w:t>
      </w:r>
    </w:p>
    <w:p>
      <w:pPr>
        <w:pStyle w:val="Style3"/>
        <w:widowControl w:val="0"/>
        <w:keepNext w:val="0"/>
        <w:keepLines w:val="0"/>
        <w:shd w:val="clear" w:color="auto" w:fill="auto"/>
        <w:bidi w:val="0"/>
        <w:spacing w:before="0" w:after="184" w:line="281" w:lineRule="exact"/>
        <w:ind w:left="0" w:right="0" w:firstLine="0"/>
      </w:pPr>
      <w:r>
        <w:rPr>
          <w:rStyle w:val="CharStyle5"/>
          <w:b/>
          <w:bCs/>
        </w:rPr>
        <w:t>Мононолиягэ карты Федераль хезмэтнен Татарстан Республикасы буенча идарэсе</w:t>
      </w:r>
    </w:p>
    <w:p>
      <w:pPr>
        <w:pStyle w:val="Style6"/>
        <w:widowControl w:val="0"/>
        <w:keepNext w:val="0"/>
        <w:keepLines w:val="0"/>
        <w:shd w:val="clear" w:color="auto" w:fill="auto"/>
        <w:bidi w:val="0"/>
        <w:spacing w:before="0" w:after="0"/>
        <w:ind w:left="0" w:right="0" w:firstLine="0"/>
        <w:sectPr>
          <w:headerReference w:type="even" r:id="rId7"/>
          <w:headerReference w:type="default" r:id="rId8"/>
          <w:titlePg/>
          <w:footnotePr>
            <w:pos w:val="pageBottom"/>
            <w:numFmt w:val="decimal"/>
            <w:numRestart w:val="continuous"/>
          </w:footnotePr>
          <w:type w:val="continuous"/>
          <w:pgSz w:w="11909" w:h="16838"/>
          <w:pgMar w:top="702" w:left="681" w:right="1732" w:bottom="691" w:header="0" w:footer="3" w:gutter="0"/>
          <w:rtlGutter w:val="0"/>
          <w:cols w:num="2" w:space="720" w:equalWidth="0">
            <w:col w:w="4018" w:space="2315"/>
            <w:col w:w="3164"/>
          </w:cols>
          <w:noEndnote/>
          <w:docGrid w:linePitch="360"/>
        </w:sectPr>
      </w:pPr>
      <w:r>
        <w:rPr>
          <w:rStyle w:val="CharStyle8"/>
        </w:rPr>
        <w:t xml:space="preserve">Москоу ур., 55 йорт. Казан шоЬоре.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framePr w:h="749" w:wrap="none" w:vAnchor="text" w:hAnchor="margin" w:x="2255"/>
        <w:widowControl w:val="0"/>
        <w:jc w:val="center"/>
        <w:rPr>
          <w:sz w:val="2"/>
          <w:szCs w:val="2"/>
        </w:rPr>
      </w:pPr>
      <w:r>
        <w:pict>
          <v:shape id="_x0000_s1029" type="#_x0000_t75" style="width:97pt;height:37pt;">
            <v:imagedata r:id="rId9" r:href="rId10"/>
          </v:shape>
        </w:pict>
      </w:r>
    </w:p>
    <w:p>
      <w:pPr>
        <w:pStyle w:val="Style9"/>
        <w:framePr w:w="2214" w:h="399" w:wrap="none" w:vAnchor="text" w:hAnchor="margin" w:x="133" w:y="170"/>
        <w:widowControl w:val="0"/>
        <w:keepNext w:val="0"/>
        <w:keepLines w:val="0"/>
        <w:shd w:val="clear" w:color="auto" w:fill="auto"/>
        <w:bidi w:val="0"/>
        <w:jc w:val="left"/>
        <w:spacing w:before="0" w:after="0" w:line="360" w:lineRule="exact"/>
        <w:ind w:left="100" w:right="0" w:firstLine="0"/>
      </w:pPr>
      <w:r>
        <w:rPr>
          <w:rStyle w:val="CharStyle11"/>
          <w:i/>
          <w:iCs/>
          <w:spacing w:val="0"/>
        </w:rPr>
        <w:t>Ц.0Л.Ш1К,</w:t>
      </w:r>
    </w:p>
    <w:p>
      <w:pPr>
        <w:widowControl w:val="0"/>
        <w:spacing w:line="360" w:lineRule="exact"/>
      </w:pPr>
    </w:p>
    <w:p>
      <w:pPr>
        <w:widowControl w:val="0"/>
        <w:spacing w:line="381" w:lineRule="exact"/>
      </w:pPr>
    </w:p>
    <w:p>
      <w:pPr>
        <w:widowControl w:val="0"/>
        <w:rPr>
          <w:sz w:val="2"/>
          <w:szCs w:val="2"/>
        </w:rPr>
        <w:sectPr>
          <w:type w:val="continuous"/>
          <w:pgSz w:w="11909" w:h="16838"/>
          <w:pgMar w:top="662" w:left="641" w:right="641" w:bottom="662" w:header="0" w:footer="3" w:gutter="0"/>
          <w:rtlGutter w:val="0"/>
          <w:cols w:space="720"/>
          <w:noEndnote/>
          <w:docGrid w:linePitch="360"/>
        </w:sectPr>
      </w:pPr>
    </w:p>
    <w:p>
      <w:pPr>
        <w:pStyle w:val="Style12"/>
        <w:framePr w:h="202" w:wrap="around" w:vAnchor="text" w:hAnchor="margin" w:x="-4629" w:y="113"/>
        <w:widowControl w:val="0"/>
        <w:keepNext w:val="0"/>
        <w:keepLines w:val="0"/>
        <w:shd w:val="clear" w:color="auto" w:fill="auto"/>
        <w:bidi w:val="0"/>
        <w:jc w:val="left"/>
        <w:spacing w:before="0" w:after="0" w:line="200" w:lineRule="exact"/>
        <w:ind w:left="0" w:right="0" w:firstLine="0"/>
      </w:pPr>
      <w:r>
        <w:rPr>
          <w:rStyle w:val="CharStyle14"/>
          <w:spacing w:val="0"/>
        </w:rPr>
        <w:t>На №</w:t>
      </w:r>
    </w:p>
    <w:p>
      <w:pPr>
        <w:pStyle w:val="Style6"/>
        <w:framePr w:h="137" w:wrap="around" w:vAnchor="text" w:hAnchor="margin" w:x="-2757" w:y="163"/>
        <w:widowControl w:val="0"/>
        <w:keepNext w:val="0"/>
        <w:keepLines w:val="0"/>
        <w:shd w:val="clear" w:color="auto" w:fill="auto"/>
        <w:bidi w:val="0"/>
        <w:jc w:val="left"/>
        <w:spacing w:before="0" w:after="0" w:line="130" w:lineRule="exact"/>
        <w:ind w:left="0" w:right="0" w:firstLine="0"/>
      </w:pPr>
      <w:r>
        <w:rPr>
          <w:rStyle w:val="CharStyle16"/>
          <w:spacing w:val="0"/>
        </w:rPr>
        <w:t>ОТ</w:t>
      </w:r>
    </w:p>
    <w:p>
      <w:pPr>
        <w:pStyle w:val="Style1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Заказчики:</w:t>
      </w:r>
    </w:p>
    <w:p>
      <w:pPr>
        <w:pStyle w:val="Style17"/>
        <w:widowControl w:val="0"/>
        <w:keepNext w:val="0"/>
        <w:keepLines w:val="0"/>
        <w:shd w:val="clear" w:color="auto" w:fill="auto"/>
        <w:bidi w:val="0"/>
        <w:jc w:val="left"/>
        <w:spacing w:before="0" w:after="0"/>
        <w:ind w:left="0" w:right="360" w:firstLine="0"/>
        <w:sectPr>
          <w:type w:val="continuous"/>
          <w:pgSz w:w="11909" w:h="16838"/>
          <w:pgMar w:top="717" w:left="5389" w:right="641" w:bottom="706" w:header="0" w:footer="3" w:gutter="0"/>
          <w:rtlGutter w:val="0"/>
          <w:cols w:space="720"/>
          <w:noEndnote/>
          <w:docGrid w:linePitch="360"/>
        </w:sectPr>
      </w:pPr>
      <w:r>
        <w:rPr>
          <w:lang w:val="ru-RU" w:eastAsia="ru-RU" w:bidi="ru-RU"/>
          <w:w w:val="100"/>
          <w:spacing w:val="0"/>
          <w:color w:val="000000"/>
          <w:position w:val="0"/>
        </w:rPr>
        <w:t>МИНИСТЕРСТВО ЗДРАВООХРАНЕНИЯ РЕСПУБЛИКИ ТАТАРСТАН</w:t>
      </w:r>
    </w:p>
    <w:p>
      <w:pPr>
        <w:widowControl w:val="0"/>
        <w:spacing w:before="42" w:after="4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324" w:lineRule="exact"/>
        <w:ind w:left="4720" w:right="0" w:firstLine="0"/>
      </w:pPr>
      <w:r>
        <w:rPr>
          <w:lang w:val="ru-RU" w:eastAsia="ru-RU" w:bidi="ru-RU"/>
          <w:w w:val="100"/>
          <w:spacing w:val="0"/>
          <w:color w:val="000000"/>
          <w:position w:val="0"/>
        </w:rPr>
        <w:t>Заявитель:</w:t>
      </w:r>
    </w:p>
    <w:p>
      <w:pPr>
        <w:pStyle w:val="Style17"/>
        <w:widowControl w:val="0"/>
        <w:keepNext w:val="0"/>
        <w:keepLines w:val="0"/>
        <w:shd w:val="clear" w:color="auto" w:fill="auto"/>
        <w:bidi w:val="0"/>
        <w:jc w:val="left"/>
        <w:spacing w:before="0" w:after="0" w:line="324" w:lineRule="exact"/>
        <w:ind w:left="4720" w:right="0" w:firstLine="0"/>
      </w:pPr>
      <w:r>
        <w:rPr>
          <w:lang w:val="ru-RU" w:eastAsia="ru-RU" w:bidi="ru-RU"/>
          <w:w w:val="100"/>
          <w:spacing w:val="0"/>
          <w:color w:val="000000"/>
          <w:position w:val="0"/>
        </w:rPr>
        <w:t>ООО «Медренсервис»</w:t>
      </w:r>
    </w:p>
    <w:p>
      <w:pPr>
        <w:pStyle w:val="Style17"/>
        <w:widowControl w:val="0"/>
        <w:keepNext w:val="0"/>
        <w:keepLines w:val="0"/>
        <w:shd w:val="clear" w:color="auto" w:fill="auto"/>
        <w:bidi w:val="0"/>
        <w:jc w:val="left"/>
        <w:spacing w:before="0" w:after="291" w:line="324" w:lineRule="exact"/>
        <w:ind w:left="4720" w:right="0" w:firstLine="0"/>
      </w:pPr>
      <w:r>
        <w:fldChar w:fldCharType="begin"/>
      </w:r>
      <w:r>
        <w:rPr>
          <w:rStyle w:val="CharStyle19"/>
        </w:rPr>
        <w:instrText> HYPERLINK "mailto:medrenservice@gmail.com" </w:instrText>
      </w:r>
      <w:r>
        <w:fldChar w:fldCharType="separate"/>
      </w:r>
      <w:r>
        <w:rPr>
          <w:rStyle w:val="Hyperlink"/>
        </w:rPr>
        <w:t>medrenservice@gmail.com</w:t>
      </w:r>
      <w:r>
        <w:fldChar w:fldCharType="end"/>
      </w:r>
    </w:p>
    <w:p>
      <w:pPr>
        <w:pStyle w:val="Style20"/>
        <w:widowControl w:val="0"/>
        <w:keepNext/>
        <w:keepLines/>
        <w:shd w:val="clear" w:color="auto" w:fill="auto"/>
        <w:bidi w:val="0"/>
        <w:spacing w:before="0" w:after="351" w:line="260" w:lineRule="exact"/>
        <w:ind w:left="0" w:right="0" w:firstLine="0"/>
      </w:pPr>
      <w:bookmarkStart w:id="0" w:name="bookmark0"/>
      <w:r>
        <w:rPr>
          <w:lang w:val="ru-RU" w:eastAsia="ru-RU" w:bidi="ru-RU"/>
          <w:w w:val="100"/>
          <w:spacing w:val="0"/>
          <w:color w:val="000000"/>
          <w:position w:val="0"/>
        </w:rPr>
        <w:t>Решение по делу № 016/06/48-1254/2022</w:t>
      </w:r>
      <w:bookmarkEnd w:id="0"/>
    </w:p>
    <w:p>
      <w:pPr>
        <w:pStyle w:val="Style17"/>
        <w:tabs>
          <w:tab w:leader="none" w:pos="9186" w:val="center"/>
          <w:tab w:leader="none" w:pos="10176" w:val="right"/>
        </w:tabs>
        <w:widowControl w:val="0"/>
        <w:keepNext w:val="0"/>
        <w:keepLines w:val="0"/>
        <w:shd w:val="clear" w:color="auto" w:fill="auto"/>
        <w:bidi w:val="0"/>
        <w:jc w:val="both"/>
        <w:spacing w:before="0" w:after="300" w:line="260" w:lineRule="exact"/>
        <w:ind w:left="20" w:right="0" w:firstLine="0"/>
      </w:pPr>
      <w:r>
        <w:rPr>
          <w:lang w:val="ru-RU" w:eastAsia="ru-RU" w:bidi="ru-RU"/>
          <w:w w:val="100"/>
          <w:spacing w:val="0"/>
          <w:color w:val="000000"/>
          <w:position w:val="0"/>
        </w:rPr>
        <w:t>10 августа 2022 года</w:t>
        <w:tab/>
        <w:t>г.</w:t>
        <w:tab/>
        <w:t>Казань</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7"/>
        <w:tabs>
          <w:tab w:leader="none" w:pos="9964" w:val="right"/>
          <w:tab w:leader="none" w:pos="9959" w:val="right"/>
        </w:tabs>
        <w:widowControl w:val="0"/>
        <w:keepNext w:val="0"/>
        <w:keepLines w:val="0"/>
        <w:shd w:val="clear" w:color="auto" w:fill="auto"/>
        <w:bidi w:val="0"/>
        <w:jc w:val="both"/>
        <w:spacing w:before="0" w:after="63" w:line="324" w:lineRule="exact"/>
        <w:ind w:left="840" w:right="0" w:firstLine="0"/>
      </w:pPr>
      <w:r>
        <w:rPr>
          <w:lang w:val="ru-RU" w:eastAsia="ru-RU" w:bidi="ru-RU"/>
          <w:w w:val="100"/>
          <w:spacing w:val="0"/>
          <w:color w:val="000000"/>
          <w:position w:val="0"/>
        </w:rPr>
        <w:t>Зам. председателя Комиссии:</w:t>
        <w:tab/>
        <w:t>Амировой</w:t>
        <w:tab/>
        <w:t>В.Р. - начальника отдела,</w:t>
      </w:r>
    </w:p>
    <w:p>
      <w:pPr>
        <w:pStyle w:val="Style17"/>
        <w:tabs>
          <w:tab w:leader="none" w:pos="6951" w:val="right"/>
          <w:tab w:leader="none" w:pos="9964" w:val="right"/>
        </w:tabs>
        <w:widowControl w:val="0"/>
        <w:keepNext w:val="0"/>
        <w:keepLines w:val="0"/>
        <w:shd w:val="clear" w:color="auto" w:fill="auto"/>
        <w:bidi w:val="0"/>
        <w:jc w:val="both"/>
        <w:spacing w:before="0" w:after="0"/>
        <w:ind w:left="840" w:right="0" w:firstLine="0"/>
      </w:pPr>
      <w:r>
        <w:rPr>
          <w:lang w:val="ru-RU" w:eastAsia="ru-RU" w:bidi="ru-RU"/>
          <w:w w:val="100"/>
          <w:spacing w:val="0"/>
          <w:color w:val="000000"/>
          <w:position w:val="0"/>
        </w:rPr>
        <w:t>Членов Комиссии:</w:t>
        <w:tab/>
        <w:t>Тимофеева</w:t>
        <w:tab/>
        <w:t>М.А. - ведущего</w:t>
      </w:r>
    </w:p>
    <w:p>
      <w:pPr>
        <w:pStyle w:val="Style17"/>
        <w:widowControl w:val="0"/>
        <w:keepNext w:val="0"/>
        <w:keepLines w:val="0"/>
        <w:shd w:val="clear" w:color="auto" w:fill="auto"/>
        <w:bidi w:val="0"/>
        <w:jc w:val="left"/>
        <w:spacing w:before="0" w:after="0"/>
        <w:ind w:left="5680" w:right="0" w:firstLine="0"/>
      </w:pPr>
      <w:r>
        <w:rPr>
          <w:lang w:val="ru-RU" w:eastAsia="ru-RU" w:bidi="ru-RU"/>
          <w:w w:val="100"/>
          <w:spacing w:val="0"/>
          <w:color w:val="000000"/>
          <w:position w:val="0"/>
        </w:rPr>
        <w:t>специалиста-эксперта,</w:t>
      </w:r>
    </w:p>
    <w:p>
      <w:pPr>
        <w:pStyle w:val="Style17"/>
        <w:widowControl w:val="0"/>
        <w:keepNext w:val="0"/>
        <w:keepLines w:val="0"/>
        <w:shd w:val="clear" w:color="auto" w:fill="auto"/>
        <w:bidi w:val="0"/>
        <w:jc w:val="left"/>
        <w:spacing w:before="0" w:after="0"/>
        <w:ind w:left="5680" w:right="260" w:firstLine="0"/>
      </w:pPr>
      <w:r>
        <w:rPr>
          <w:lang w:val="ru-RU" w:eastAsia="ru-RU" w:bidi="ru-RU"/>
          <w:w w:val="100"/>
          <w:spacing w:val="0"/>
          <w:color w:val="000000"/>
          <w:position w:val="0"/>
        </w:rPr>
        <w:t>Хусайнова И.И. - специалиста первого разряда,</w:t>
      </w:r>
    </w:p>
    <w:p>
      <w:pPr>
        <w:pStyle w:val="Style17"/>
        <w:widowControl w:val="0"/>
        <w:keepNext w:val="0"/>
        <w:keepLines w:val="0"/>
        <w:shd w:val="clear" w:color="auto" w:fill="auto"/>
        <w:bidi w:val="0"/>
        <w:jc w:val="both"/>
        <w:spacing w:before="0" w:after="288"/>
        <w:ind w:left="20" w:right="20" w:firstLine="700"/>
      </w:pPr>
      <w:r>
        <w:rPr>
          <w:lang w:val="ru-RU" w:eastAsia="ru-RU" w:bidi="ru-RU"/>
          <w:w w:val="100"/>
          <w:spacing w:val="0"/>
          <w:color w:val="000000"/>
          <w:position w:val="0"/>
        </w:rPr>
        <w:t>в присутствии представителей заказчика МИНИСТЕРСТВО ЗДРАВООХРАНЕНИЯ РЕСПУБЛИКИ ТАТАРСТАН - Сибгатова И.З. (доверенность №09-01/7922 от 14.06.2022 г.), Айтовой Л.М. (№09-01/7919 доверенность от 14.06.2022 г.), в присутствии представителя заявителя ООО «Медренсервис» - Шкарина Д.Ю. (доверенность №22-</w:t>
      </w:r>
      <w:r>
        <w:rPr>
          <w:lang w:val="en-US" w:eastAsia="en-US" w:bidi="en-US"/>
          <w:w w:val="100"/>
          <w:spacing w:val="0"/>
          <w:color w:val="000000"/>
          <w:position w:val="0"/>
        </w:rPr>
        <w:t xml:space="preserve">1C </w:t>
      </w:r>
      <w:r>
        <w:rPr>
          <w:lang w:val="ru-RU" w:eastAsia="ru-RU" w:bidi="ru-RU"/>
          <w:w w:val="100"/>
          <w:spacing w:val="0"/>
          <w:color w:val="000000"/>
          <w:position w:val="0"/>
        </w:rPr>
        <w:t>от 10.03.2022 г.), рассмотрев в режиме видеоконференцсвязи жалобу заявителя ООО «Медренсервис» (вх. № 10020/ж от 03.08.2022 г.) на действие заказчика при проведении закупки № 0111200002422000685 на предмет: поставка медицинских изделий (Аппарат рентгеновский для флюорографии легких цифровой),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pPr>
        <w:pStyle w:val="Style17"/>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УСТАНОВИЛА:</w:t>
      </w:r>
      <w:r>
        <w:br w:type="page"/>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 xml:space="preserve">Извещение о проведении электронного аукциона №0111200002422000685 размещено на официальном сайте Российской Федерации </w:t>
      </w:r>
      <w:r>
        <w:fldChar w:fldCharType="begin"/>
      </w:r>
      <w:r>
        <w:rPr>
          <w:rStyle w:val="CharStyle19"/>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21.07.2022 г.</w:t>
      </w:r>
    </w:p>
    <w:p>
      <w:pPr>
        <w:pStyle w:val="Style17"/>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Начальная (максимальная) цена контракта - 97 200 000,00 Р.</w:t>
      </w:r>
    </w:p>
    <w:p>
      <w:pPr>
        <w:pStyle w:val="Style17"/>
        <w:widowControl w:val="0"/>
        <w:keepNext w:val="0"/>
        <w:keepLines w:val="0"/>
        <w:shd w:val="clear" w:color="auto" w:fill="auto"/>
        <w:bidi w:val="0"/>
        <w:jc w:val="both"/>
        <w:spacing w:before="0" w:after="0" w:line="346" w:lineRule="exact"/>
        <w:ind w:left="20" w:right="20" w:firstLine="720"/>
      </w:pPr>
      <w:r>
        <w:rPr>
          <w:lang w:val="ru-RU" w:eastAsia="ru-RU" w:bidi="ru-RU"/>
          <w:w w:val="100"/>
          <w:spacing w:val="0"/>
          <w:color w:val="000000"/>
          <w:position w:val="0"/>
        </w:rPr>
        <w:t>Суть жалобы, по мнению заявителя, закупка проведена с нарушениями норм действующего законодательства.</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Представитель заказчика с доводами, изложенными в жалобе не согласился, представил письменные и устные пояснения, а также документы по закупке, которые приобщены к материалам дела.</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Указанная закупка реализуется в рамках мероприятий национального проекта «Здравоохранение» по программе «Модернизация первичного звена здравоохранения» по приобретению медицинского оборудования для учреждений здравоохранения, оказывающих первичную медико-санитарную помощь в сельской местности, поселках городского типа и малых городах с численностью населения до 50,0 тыс. человек.</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и позиции заказчика, изучения извещения о проведении закупки приходит к следующим выводам.</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numPr>
          <w:ilvl w:val="0"/>
          <w:numId w:val="1"/>
        </w:numPr>
        <w:tabs>
          <w:tab w:leader="none" w:pos="1060" w:val="lef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члены комиссии по осуществлению закупок:</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widowControl w:val="0"/>
        <w:keepNext w:val="0"/>
        <w:keepLines w:val="0"/>
        <w:shd w:val="clear" w:color="auto" w:fill="auto"/>
        <w:bidi w:val="0"/>
        <w:jc w:val="both"/>
        <w:spacing w:before="0" w:after="708"/>
        <w:ind w:left="20" w:right="20" w:firstLine="720"/>
      </w:pPr>
      <w:r>
        <w:rPr>
          <w:lang w:val="ru-RU" w:eastAsia="ru-RU" w:bidi="ru-RU"/>
          <w:w w:val="100"/>
          <w:spacing w:val="0"/>
          <w:color w:val="000000"/>
          <w:position w:val="0"/>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widowControl w:val="0"/>
        <w:keepNext w:val="0"/>
        <w:keepLines w:val="0"/>
        <w:shd w:val="clear" w:color="auto" w:fill="auto"/>
        <w:bidi w:val="0"/>
        <w:jc w:val="left"/>
        <w:spacing w:before="0" w:after="0" w:line="260" w:lineRule="exact"/>
        <w:ind w:left="8700" w:right="0" w:firstLine="0"/>
      </w:pPr>
      <w:r>
        <w:rPr>
          <w:lang w:val="ru-RU" w:eastAsia="ru-RU" w:bidi="ru-RU"/>
          <w:w w:val="100"/>
          <w:spacing w:val="0"/>
          <w:color w:val="000000"/>
          <w:position w:val="0"/>
        </w:rPr>
        <w:t>210562</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7"/>
        <w:numPr>
          <w:ilvl w:val="0"/>
          <w:numId w:val="3"/>
        </w:numPr>
        <w:tabs>
          <w:tab w:leader="none" w:pos="7894" w:val="left"/>
          <w:tab w:leader="none" w:pos="10205" w:val="right"/>
        </w:tabs>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w:t>
        <w:tab/>
        <w:t>в извещении</w:t>
        <w:tab/>
        <w:t>об</w:t>
      </w:r>
    </w:p>
    <w:p>
      <w:pPr>
        <w:pStyle w:val="Style17"/>
        <w:widowControl w:val="0"/>
        <w:keepNext w:val="0"/>
        <w:keepLines w:val="0"/>
        <w:shd w:val="clear" w:color="auto" w:fill="auto"/>
        <w:bidi w:val="0"/>
        <w:jc w:val="both"/>
        <w:spacing w:before="0" w:after="0" w:line="324" w:lineRule="exact"/>
        <w:ind w:left="20" w:right="0" w:firstLine="0"/>
      </w:pPr>
      <w:r>
        <w:rPr>
          <w:lang w:val="ru-RU" w:eastAsia="ru-RU" w:bidi="ru-RU"/>
          <w:w w:val="100"/>
          <w:spacing w:val="0"/>
          <w:color w:val="000000"/>
          <w:position w:val="0"/>
        </w:rPr>
        <w:t>осуществлении закупки;</w:t>
      </w:r>
    </w:p>
    <w:p>
      <w:pPr>
        <w:pStyle w:val="Style17"/>
        <w:numPr>
          <w:ilvl w:val="0"/>
          <w:numId w:val="3"/>
        </w:numPr>
        <w:tabs>
          <w:tab w:leader="none" w:pos="7894" w:val="left"/>
          <w:tab w:leader="none" w:pos="10205" w:val="right"/>
        </w:tabs>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w:t>
        <w:tab/>
        <w:t>в извещении</w:t>
        <w:tab/>
        <w:t>об</w:t>
      </w:r>
    </w:p>
    <w:p>
      <w:pPr>
        <w:pStyle w:val="Style17"/>
        <w:widowControl w:val="0"/>
        <w:keepNext w:val="0"/>
        <w:keepLines w:val="0"/>
        <w:shd w:val="clear" w:color="auto" w:fill="auto"/>
        <w:bidi w:val="0"/>
        <w:jc w:val="both"/>
        <w:spacing w:before="0" w:after="0" w:line="324" w:lineRule="exact"/>
        <w:ind w:left="20" w:right="0" w:firstLine="0"/>
      </w:pPr>
      <w:r>
        <w:rPr>
          <w:lang w:val="ru-RU" w:eastAsia="ru-RU" w:bidi="ru-RU"/>
          <w:w w:val="100"/>
          <w:spacing w:val="0"/>
          <w:color w:val="000000"/>
          <w:position w:val="0"/>
        </w:rPr>
        <w:t>осуществлении закупки;</w:t>
      </w:r>
    </w:p>
    <w:p>
      <w:pPr>
        <w:pStyle w:val="Style17"/>
        <w:numPr>
          <w:ilvl w:val="0"/>
          <w:numId w:val="3"/>
        </w:numPr>
        <w:tabs>
          <w:tab w:leader="none" w:pos="7894" w:val="left"/>
          <w:tab w:leader="none" w:pos="10205" w:val="right"/>
        </w:tabs>
        <w:widowControl w:val="0"/>
        <w:keepNext w:val="0"/>
        <w:keepLines w:val="0"/>
        <w:shd w:val="clear" w:color="auto" w:fill="auto"/>
        <w:bidi w:val="0"/>
        <w:jc w:val="both"/>
        <w:spacing w:before="0" w:after="0" w:line="324" w:lineRule="exact"/>
        <w:ind w:left="20" w:right="0" w:firstLine="700"/>
      </w:pPr>
      <w:r>
        <w:rPr>
          <w:lang w:val="ru-RU" w:eastAsia="ru-RU" w:bidi="ru-RU"/>
          <w:w w:val="100"/>
          <w:spacing w:val="0"/>
          <w:color w:val="000000"/>
          <w:position w:val="0"/>
        </w:rPr>
        <w:t xml:space="preserve"> несоответствия участника закупки требованиям,</w:t>
        <w:tab/>
        <w:t>установленным</w:t>
        <w:tab/>
        <w:t>в</w:t>
      </w:r>
    </w:p>
    <w:p>
      <w:pPr>
        <w:pStyle w:val="Style17"/>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7"/>
        <w:numPr>
          <w:ilvl w:val="0"/>
          <w:numId w:val="3"/>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7"/>
        <w:numPr>
          <w:ilvl w:val="0"/>
          <w:numId w:val="3"/>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7"/>
        <w:numPr>
          <w:ilvl w:val="0"/>
          <w:numId w:val="3"/>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выявления отнесения участника закупки к организациям, предусмотренным пунктом 4 статьи 2 Федерального закона от 4 июня 2018 года </w:t>
      </w:r>
      <w:r>
        <w:rPr>
          <w:lang w:val="en-US" w:eastAsia="en-US" w:bidi="en-US"/>
          <w:w w:val="100"/>
          <w:spacing w:val="0"/>
          <w:color w:val="000000"/>
          <w:position w:val="0"/>
        </w:rPr>
        <w:t xml:space="preserve">N </w:t>
      </w:r>
      <w:r>
        <w:rPr>
          <w:lang w:val="ru-RU" w:eastAsia="ru-RU" w:bidi="ru-RU"/>
          <w:w w:val="100"/>
          <w:spacing w:val="0"/>
          <w:color w:val="000000"/>
          <w:position w:val="0"/>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r>
        <w:br w:type="page"/>
      </w:r>
    </w:p>
    <w:p>
      <w:pPr>
        <w:pStyle w:val="Style17"/>
        <w:numPr>
          <w:ilvl w:val="0"/>
          <w:numId w:val="3"/>
        </w:numPr>
        <w:widowControl w:val="0"/>
        <w:keepNext w:val="0"/>
        <w:keepLines w:val="0"/>
        <w:shd w:val="clear" w:color="auto" w:fill="auto"/>
        <w:bidi w:val="0"/>
        <w:jc w:val="both"/>
        <w:spacing w:before="0" w:after="0" w:line="328" w:lineRule="exact"/>
        <w:ind w:left="0" w:right="0" w:firstLine="720"/>
      </w:pPr>
      <w:r>
        <w:rPr>
          <w:lang w:val="ru-RU" w:eastAsia="ru-RU" w:bidi="ru-RU"/>
          <w:w w:val="100"/>
          <w:spacing w:val="0"/>
          <w:color w:val="000000"/>
          <w:position w:val="0"/>
        </w:rPr>
        <w:t xml:space="preserve"> предусмотренных частью 6 статьи 45 настоящего Федерального закона;</w:t>
      </w:r>
    </w:p>
    <w:p>
      <w:pPr>
        <w:pStyle w:val="Style17"/>
        <w:numPr>
          <w:ilvl w:val="0"/>
          <w:numId w:val="3"/>
        </w:numPr>
        <w:widowControl w:val="0"/>
        <w:keepNext w:val="0"/>
        <w:keepLines w:val="0"/>
        <w:shd w:val="clear" w:color="auto" w:fill="auto"/>
        <w:bidi w:val="0"/>
        <w:jc w:val="both"/>
        <w:spacing w:before="0" w:after="0" w:line="328" w:lineRule="exact"/>
        <w:ind w:left="0" w:right="20" w:firstLine="72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17"/>
        <w:numPr>
          <w:ilvl w:val="0"/>
          <w:numId w:val="3"/>
        </w:numPr>
        <w:widowControl w:val="0"/>
        <w:keepNext w:val="0"/>
        <w:keepLines w:val="0"/>
        <w:shd w:val="clear" w:color="auto" w:fill="auto"/>
        <w:bidi w:val="0"/>
        <w:jc w:val="both"/>
        <w:spacing w:before="0" w:after="0" w:line="328" w:lineRule="exact"/>
        <w:ind w:left="0" w:right="20" w:firstLine="720"/>
      </w:pPr>
      <w:r>
        <w:rPr>
          <w:lang w:val="ru-RU" w:eastAsia="ru-RU" w:bidi="ru-RU"/>
          <w:w w:val="100"/>
          <w:spacing w:val="0"/>
          <w:color w:val="000000"/>
          <w:position w:val="0"/>
        </w:rPr>
        <w:t xml:space="preserve"> 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7"/>
        <w:widowControl w:val="0"/>
        <w:keepNext w:val="0"/>
        <w:keepLines w:val="0"/>
        <w:shd w:val="clear" w:color="auto" w:fill="auto"/>
        <w:bidi w:val="0"/>
        <w:jc w:val="both"/>
        <w:spacing w:before="0" w:after="0" w:line="328" w:lineRule="exact"/>
        <w:ind w:left="0" w:right="20" w:firstLine="720"/>
        <w:sectPr>
          <w:type w:val="continuous"/>
          <w:pgSz w:w="11909" w:h="16838"/>
          <w:pgMar w:top="1126" w:left="709" w:right="968" w:bottom="546" w:header="0" w:footer="3" w:gutter="0"/>
          <w:rtlGutter w:val="0"/>
          <w:cols w:space="720"/>
          <w:noEndnote/>
          <w:docGrid w:linePitch="360"/>
        </w:sectPr>
      </w:pPr>
      <w:r>
        <w:rPr>
          <w:lang w:val="ru-RU" w:eastAsia="ru-RU" w:bidi="ru-RU"/>
          <w:w w:val="100"/>
          <w:spacing w:val="0"/>
          <w:color w:val="000000"/>
          <w:position w:val="0"/>
        </w:rPr>
        <w:t>В соответствии с Протоколом подведения итогов определения поставщика (подрядчика, исполнителя) от 01.08.2022 заявка заявителя (идентификационный номер заявки 1775495) отклонена комиссией заказчика в соответствии с пунктом 3 части 12 статьи 48 Закона о контрактной системе (выявление недостоверной информации, содержащейся в заявке), а именно:</w:t>
      </w:r>
    </w:p>
    <w:p>
      <w:pPr>
        <w:pStyle w:val="Style27"/>
        <w:framePr w:w="2707" w:h="398" w:wrap="none" w:vAnchor="text" w:hAnchor="margin" w:x="233" w:y="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Идентификационный номер заявки</w:t>
      </w:r>
    </w:p>
    <w:p>
      <w:pPr>
        <w:pStyle w:val="Style27"/>
        <w:framePr w:w="1911" w:h="176" w:wrap="none" w:vAnchor="text" w:hAnchor="margin" w:x="3020"/>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Порядковый номер</w:t>
      </w:r>
    </w:p>
    <w:p>
      <w:pPr>
        <w:pStyle w:val="Style27"/>
        <w:framePr w:w="2167" w:h="2021" w:wrap="none" w:vAnchor="text" w:hAnchor="margin" w:x="4805" w:y="3"/>
        <w:widowControl w:val="0"/>
        <w:keepNext w:val="0"/>
        <w:keepLines w:val="0"/>
        <w:shd w:val="clear" w:color="auto" w:fill="auto"/>
        <w:bidi w:val="0"/>
        <w:spacing w:before="0" w:after="584" w:line="205" w:lineRule="exact"/>
        <w:ind w:left="0" w:right="100" w:firstLine="0"/>
      </w:pPr>
      <w:r>
        <w:rPr>
          <w:lang w:val="ru-RU" w:eastAsia="ru-RU" w:bidi="ru-RU"/>
          <w:w w:val="100"/>
          <w:spacing w:val="0"/>
          <w:color w:val="000000"/>
          <w:position w:val="0"/>
        </w:rPr>
        <w:t>Решение о соответствии заявки требованиям, установленным в извещении, или об отклонении заявки</w:t>
      </w:r>
    </w:p>
    <w:p>
      <w:pPr>
        <w:pStyle w:val="Style29"/>
        <w:framePr w:w="2167" w:h="2021" w:wrap="none" w:vAnchor="text" w:hAnchor="margin" w:x="4805" w:y="3"/>
        <w:widowControl w:val="0"/>
        <w:keepNext w:val="0"/>
        <w:keepLines w:val="0"/>
        <w:shd w:val="clear" w:color="auto" w:fill="auto"/>
        <w:bidi w:val="0"/>
        <w:jc w:val="left"/>
        <w:spacing w:before="0" w:after="0" w:line="150" w:lineRule="exact"/>
        <w:ind w:left="100" w:right="0" w:firstLine="0"/>
      </w:pPr>
      <w:r>
        <w:rPr>
          <w:rStyle w:val="CharStyle30"/>
          <w:spacing w:val="0"/>
        </w:rPr>
        <w:t>Отклонена</w:t>
      </w:r>
    </w:p>
    <w:p>
      <w:pPr>
        <w:pStyle w:val="Style29"/>
        <w:framePr w:w="874" w:h="160" w:wrap="none" w:vAnchor="text" w:hAnchor="margin" w:x="43" w:y="1866"/>
        <w:widowControl w:val="0"/>
        <w:keepNext w:val="0"/>
        <w:keepLines w:val="0"/>
        <w:shd w:val="clear" w:color="auto" w:fill="auto"/>
        <w:bidi w:val="0"/>
        <w:jc w:val="left"/>
        <w:spacing w:before="0" w:after="0" w:line="150" w:lineRule="exact"/>
        <w:ind w:left="100" w:right="0" w:firstLine="0"/>
      </w:pPr>
      <w:r>
        <w:rPr>
          <w:rStyle w:val="CharStyle30"/>
          <w:spacing w:val="0"/>
        </w:rPr>
        <w:t>1775495</w:t>
      </w:r>
    </w:p>
    <w:p>
      <w:pPr>
        <w:pStyle w:val="Style27"/>
        <w:framePr w:w="3290" w:h="10956" w:wrap="none" w:vAnchor="text" w:hAnchor="margin" w:x="6987" w:y="3"/>
        <w:widowControl w:val="0"/>
        <w:keepNext w:val="0"/>
        <w:keepLines w:val="0"/>
        <w:shd w:val="clear" w:color="auto" w:fill="auto"/>
        <w:bidi w:val="0"/>
        <w:spacing w:before="0" w:after="120" w:line="205" w:lineRule="exact"/>
        <w:ind w:left="0" w:right="0" w:firstLine="0"/>
      </w:pPr>
      <w:r>
        <w:rPr>
          <w:lang w:val="ru-RU" w:eastAsia="ru-RU" w:bidi="ru-RU"/>
          <w:w w:val="100"/>
          <w:spacing w:val="0"/>
          <w:color w:val="000000"/>
          <w:position w:val="0"/>
        </w:rPr>
        <w:t>Обоснование решения об отклонении заявки с указанием положений Закона №44-ФЗ, извещения, который не соответствует такая заявка, положений заявки, которые не соответствуют требованиям, установленным в извещении</w:t>
      </w:r>
    </w:p>
    <w:p>
      <w:pPr>
        <w:pStyle w:val="Style29"/>
        <w:framePr w:w="3290" w:h="10956" w:wrap="none" w:vAnchor="text" w:hAnchor="margin" w:x="6987" w:y="3"/>
        <w:widowControl w:val="0"/>
        <w:keepNext w:val="0"/>
        <w:keepLines w:val="0"/>
        <w:shd w:val="clear" w:color="auto" w:fill="auto"/>
        <w:bidi w:val="0"/>
        <w:jc w:val="left"/>
        <w:spacing w:before="0" w:after="0" w:line="205" w:lineRule="exact"/>
        <w:ind w:left="120" w:right="120" w:firstLine="0"/>
      </w:pPr>
      <w:r>
        <w:rPr>
          <w:rStyle w:val="CharStyle30"/>
          <w:spacing w:val="0"/>
        </w:rPr>
        <w:t>Несоответствие участника закупки требованиям, установленным в извещении об осуществлении закупки в соответствии с ч. 1 (единые требования к участникам закупок) статьи 31 Закона М°44-Ф3. Отклонение по п.З ч.12 ст. 48 Закона 44-ФЗ.</w:t>
      </w:r>
    </w:p>
    <w:p>
      <w:pPr>
        <w:pStyle w:val="Style29"/>
        <w:framePr w:w="3290" w:h="10956" w:wrap="none" w:vAnchor="text" w:hAnchor="margin" w:x="6987" w:y="3"/>
        <w:widowControl w:val="0"/>
        <w:keepNext w:val="0"/>
        <w:keepLines w:val="0"/>
        <w:shd w:val="clear" w:color="auto" w:fill="auto"/>
        <w:bidi w:val="0"/>
        <w:jc w:val="left"/>
        <w:spacing w:before="0" w:after="0" w:line="205" w:lineRule="exact"/>
        <w:ind w:left="120" w:right="360" w:firstLine="0"/>
      </w:pPr>
      <w:r>
        <w:rPr>
          <w:rStyle w:val="CharStyle30"/>
          <w:spacing w:val="0"/>
        </w:rPr>
        <w:t>В соответствии с п.З &gt;-.12 ст. 48 Закона 44-ФЗ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Закона 44-ФЗ.</w:t>
      </w:r>
    </w:p>
    <w:p>
      <w:pPr>
        <w:pStyle w:val="Style29"/>
        <w:framePr w:w="3290" w:h="10956" w:wrap="none" w:vAnchor="text" w:hAnchor="margin" w:x="6987" w:y="3"/>
        <w:widowControl w:val="0"/>
        <w:keepNext w:val="0"/>
        <w:keepLines w:val="0"/>
        <w:shd w:val="clear" w:color="auto" w:fill="auto"/>
        <w:bidi w:val="0"/>
        <w:jc w:val="left"/>
        <w:spacing w:before="0" w:after="0" w:line="205" w:lineRule="exact"/>
        <w:ind w:left="120" w:right="120" w:firstLine="0"/>
      </w:pPr>
      <w:r>
        <w:rPr>
          <w:rStyle w:val="CharStyle30"/>
          <w:spacing w:val="0"/>
        </w:rPr>
        <w:t>Согласно пункту 31.2 оаздела 31 электронного документа извещения об осуществлении закупки, установлены требования к участнику закупки о соответствии участника закупки требованиям, установленным в соо</w:t>
      </w:r>
      <w:r>
        <w:rPr>
          <w:rStyle w:val="CharStyle30"/>
          <w:vertAlign w:val="superscript"/>
          <w:spacing w:val="0"/>
        </w:rPr>
        <w:t>_</w:t>
      </w:r>
      <w:r>
        <w:rPr>
          <w:rStyle w:val="CharStyle30"/>
          <w:spacing w:val="0"/>
        </w:rPr>
        <w:t>ветствии с законодательством Российской Федерации к лицам, осуществляющим поставку товара, выполнение работы, оказание услуги, являющихся объек</w:t>
      </w:r>
      <w:r>
        <w:rPr>
          <w:rStyle w:val="CharStyle30"/>
          <w:vertAlign w:val="superscript"/>
          <w:spacing w:val="0"/>
        </w:rPr>
        <w:t>-</w:t>
      </w:r>
      <w:r>
        <w:rPr>
          <w:rStyle w:val="CharStyle30"/>
          <w:spacing w:val="0"/>
        </w:rPr>
        <w:t>ом закупки, а именно по наличию лицензии на техническое обслуживание медицинской техники. В соответствии с разделом 38 «требования к содержанию, составу заявки на участие в закупке» электронного документа извещения об осуществлении закупки, заявка на участие в закупке должна содержать - документы, подтверждающие соответствие участника требованиям, установленным в соо</w:t>
      </w:r>
      <w:r>
        <w:rPr>
          <w:rStyle w:val="CharStyle30"/>
          <w:vertAlign w:val="superscript"/>
          <w:spacing w:val="0"/>
        </w:rPr>
        <w:t>_</w:t>
      </w:r>
      <w:r>
        <w:rPr>
          <w:rStyle w:val="CharStyle30"/>
          <w:spacing w:val="0"/>
        </w:rPr>
        <w:t xml:space="preserve">ветствии с пунктом 1 части 1 статьи 31 44-ФЗ, з именно подтверждающие наличие </w:t>
      </w:r>
      <w:r>
        <w:rPr>
          <w:rStyle w:val="CharStyle31"/>
          <w:spacing w:val="0"/>
        </w:rPr>
        <w:t>действующей лицензии (с</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7" w:lineRule="exact"/>
      </w:pPr>
    </w:p>
    <w:p>
      <w:pPr>
        <w:widowControl w:val="0"/>
        <w:rPr>
          <w:sz w:val="2"/>
          <w:szCs w:val="2"/>
        </w:rPr>
        <w:sectPr>
          <w:type w:val="continuous"/>
          <w:pgSz w:w="11909" w:h="16838"/>
          <w:pgMar w:top="503" w:left="659" w:right="659" w:bottom="503" w:header="0" w:footer="3" w:gutter="0"/>
          <w:rtlGutter w:val="0"/>
          <w:cols w:space="720"/>
          <w:noEndnote/>
          <w:docGrid w:linePitch="360"/>
        </w:sectPr>
      </w:pPr>
    </w:p>
    <w:p>
      <w:pPr>
        <w:pStyle w:val="Style29"/>
        <w:widowControl w:val="0"/>
        <w:keepNext w:val="0"/>
        <w:keepLines w:val="0"/>
        <w:shd w:val="clear" w:color="auto" w:fill="auto"/>
        <w:bidi w:val="0"/>
        <w:jc w:val="both"/>
        <w:spacing w:before="0" w:after="0" w:line="212" w:lineRule="exact"/>
        <w:ind w:left="40" w:right="20" w:firstLine="0"/>
      </w:pPr>
      <w:r>
        <w:rPr>
          <w:lang w:val="ru-RU" w:eastAsia="ru-RU" w:bidi="ru-RU"/>
          <w:w w:val="100"/>
          <w:spacing w:val="0"/>
          <w:color w:val="000000"/>
          <w:position w:val="0"/>
        </w:rPr>
        <w:t>указанием регистрационного номера и даты предоставления лицензии) на техническое обслуживание медицинской техники.</w:t>
      </w:r>
    </w:p>
    <w:p>
      <w:pPr>
        <w:framePr w:h="6883" w:wrap="around" w:hAnchor="margin" w:x="24" w:y="-100"/>
        <w:widowControl w:val="0"/>
        <w:jc w:val="center"/>
        <w:rPr>
          <w:sz w:val="2"/>
          <w:szCs w:val="2"/>
        </w:rPr>
      </w:pPr>
      <w:r>
        <w:pict>
          <v:shape id="_x0000_s1030" type="#_x0000_t75" style="width:349pt;height:344pt;">
            <v:imagedata r:id="rId11" r:href="rId12"/>
          </v:shape>
        </w:pict>
      </w:r>
    </w:p>
    <w:p>
      <w:pPr>
        <w:pStyle w:val="Style29"/>
        <w:widowControl w:val="0"/>
        <w:keepNext w:val="0"/>
        <w:keepLines w:val="0"/>
        <w:shd w:val="clear" w:color="auto" w:fill="auto"/>
        <w:bidi w:val="0"/>
        <w:jc w:val="both"/>
        <w:spacing w:before="0" w:after="126" w:line="212" w:lineRule="exact"/>
        <w:ind w:left="40" w:right="20" w:firstLine="0"/>
      </w:pPr>
      <w:r>
        <w:rPr>
          <w:lang w:val="ru-RU" w:eastAsia="ru-RU" w:bidi="ru-RU"/>
          <w:w w:val="100"/>
          <w:spacing w:val="0"/>
          <w:color w:val="000000"/>
          <w:position w:val="0"/>
        </w:rPr>
        <w:t>В приложении №1 к извещению | «Описание объекта закупки/Техническое задание» в пункте «Требования по сопутствующему монтажу поставленного оборудования, пуско</w:t>
        <w:softHyphen/>
        <w:t>наладочным и иным работам» установлено требование «Ввод в эксплуатацию медицинской техники должен проводиться поставщиком без привлечения соисполнителей</w:t>
      </w:r>
    </w:p>
    <w:p>
      <w:pPr>
        <w:pStyle w:val="Style29"/>
        <w:widowControl w:val="0"/>
        <w:keepNext w:val="0"/>
        <w:keepLines w:val="0"/>
        <w:shd w:val="clear" w:color="auto" w:fill="auto"/>
        <w:bidi w:val="0"/>
        <w:jc w:val="both"/>
        <w:spacing w:before="0" w:after="0" w:line="205" w:lineRule="exact"/>
        <w:ind w:left="40" w:right="20" w:firstLine="0"/>
      </w:pPr>
      <w:r>
        <w:rPr>
          <w:lang w:val="ru-RU" w:eastAsia="ru-RU" w:bidi="ru-RU"/>
          <w:w w:val="100"/>
          <w:spacing w:val="0"/>
          <w:color w:val="000000"/>
          <w:position w:val="0"/>
        </w:rPr>
        <w:t>В составе заявки ООО «МЕДРЕНСЕРВИС»(ИНН 4027116659), представленной оператором электронной площадки,</w:t>
      </w:r>
    </w:p>
    <w:p>
      <w:pPr>
        <w:pStyle w:val="Style29"/>
        <w:widowControl w:val="0"/>
        <w:keepNext w:val="0"/>
        <w:keepLines w:val="0"/>
        <w:shd w:val="clear" w:color="auto" w:fill="auto"/>
        <w:bidi w:val="0"/>
        <w:jc w:val="both"/>
        <w:spacing w:before="0" w:after="28" w:line="205" w:lineRule="exact"/>
        <w:ind w:left="40" w:right="20" w:firstLine="0"/>
      </w:pPr>
      <w:r>
        <w:rPr>
          <w:lang w:val="ru-RU" w:eastAsia="ru-RU" w:bidi="ru-RU"/>
          <w:w w:val="100"/>
          <w:spacing w:val="0"/>
          <w:color w:val="000000"/>
          <w:position w:val="0"/>
        </w:rPr>
        <w:t>) отсутствует документ, подтверждающий наличие у участника закупки лицензии на техническое обслуживание медицинской техники. Приложена выписка из реестра лицензий Росздравнадзора по состоянию на 25.07.2022 г., выданная ООО «МОСРЕНТГЕНПРОМ» (ИНН 7704506621) на техническое обслуживание медицинских изделий.</w:t>
      </w:r>
    </w:p>
    <w:p>
      <w:pPr>
        <w:pStyle w:val="Style17"/>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Согласно доводам жалобы заявителя, заявка на участие в закупки отклонена заказчиком неправомерно. Так, по мнению заявителя, участник закупки, в ходе исполнения контракта, вправе привлечь субподрядчика, имеющего соответствующую лицензию, для выполнения части работ по контракту, а именно работы по монтажу и вводу в эксплуатацию соответствующего оборудования. Ввиду этого, в составе заявки была приложена лицензия ООО «МОСРЕНТГЕНПРОМ» (ИНН 7704506621) на техническое обслуживание медицинских изделий.</w:t>
      </w:r>
    </w:p>
    <w:p>
      <w:pPr>
        <w:pStyle w:val="Style17"/>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Заказчик с доводами жалобы не согласился, пояснив следующее:</w:t>
      </w:r>
    </w:p>
    <w:p>
      <w:pPr>
        <w:pStyle w:val="Style17"/>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 xml:space="preserve">Методическими рекомендациями «Техническое обслуживание медицинской техники», утвержденными Минздравом России и Минпромнауки России 10.10.2003 (письмо Минздрава России от 27.10.2003 </w:t>
      </w:r>
      <w:r>
        <w:rPr>
          <w:lang w:val="en-US" w:eastAsia="en-US" w:bidi="en-US"/>
          <w:w w:val="100"/>
          <w:spacing w:val="0"/>
          <w:color w:val="000000"/>
          <w:position w:val="0"/>
        </w:rPr>
        <w:t xml:space="preserve">N </w:t>
      </w:r>
      <w:r>
        <w:rPr>
          <w:lang w:val="ru-RU" w:eastAsia="ru-RU" w:bidi="ru-RU"/>
          <w:w w:val="100"/>
          <w:spacing w:val="0"/>
          <w:color w:val="000000"/>
          <w:position w:val="0"/>
        </w:rPr>
        <w:t>293-22/233), ввод в эксплуатацию медицинской техники - процедура проведения комплекса регламентированных нормативной и эксплуатационной документацией мероприятий и операций по подготовке к эксплуатации приобретенной медицинскими учреждениями медицинской техники, завершающаяся передачей медицинской техники медицинскому персоналу для использования по назначению.</w:t>
      </w:r>
    </w:p>
    <w:p>
      <w:pPr>
        <w:pStyle w:val="Style17"/>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В соответствии с п.5.2. вышеуказанных методических рекомендаций, виды работ по техническому обслуживанию медицинской техники включают в себя: ввод в эксплуатацию, контроль технического состояния, периодическое и текущее техническое обслуживание, текущий ремонт, т.е. ввод в эксплуатацию - это часть технического обслуживания.</w:t>
      </w:r>
      <w:r>
        <w:br w:type="page"/>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Ввод в эксплуатацию изделий медицинской техники охватывает комплекс работ по их распаковке, расконсервации, установке, монтажу, сборке, настройке и регулировке, сдаче-приемке в эксплуатацию.</w:t>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соответствии с постановлением Правительства РФ от 03.06.2013 № 469 «05 утверждении Положения о лицензировании деятельности по производству и техническому обслуживанию медицинской техники» техническое обслуживание медицинской техники включает в себя действия по монтажу, наладке, контролю технического состояния, периодическое и текущее техническое обслуживание и ремонт медицинской техники.</w:t>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Приказом Минздрава России от 15.10.2015 № 724н утвержден типовой контракт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согласно которому поставка медицинского оборудования и ввод его в эксплуатацию являются предметом одного контракта. Это подтверждает тот факт, что поставка и ввод в эксплуатацию неделимы и представляют собой единый непрерывный комплексный процесс, этапы которого технологически и функционально связаны между собой.</w:t>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Согласно пункту 1 части 1 статьи 31 Закона № 44-ФЗ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Объект закупки № 0111200002422000685 - поставка и ввод в эксплуатацию аппарата рентгеновского цифрового для флюорографии легких, который является монтируемым оборудованием и дополнительно от грузополучателя требуется подготовка помещения под монтаж оборудования.</w:t>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Пунктом 31.2 раздела 31 электронного документа извещения об осуществлении закупки, установлены требования к участнику закупки о соответствии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именно по наличию лицензии на техническое обслуживание медицинской техники.</w:t>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соответствии с разделом 38 «требования к содержанию, составу заявки на участие в закупке» электронного документа извещения об осуществлении закупки, заявка на участие в закупке должна содержать - документы, подтверждающие соответствие участника требованиям, установленным в соответствии с пунктом 1 части 1 статьи 31 № 44-ФЗ, а именно подтверждающие наличие действующей лицензии (с указанием регистрационного номера и даты предоставления лицензии) на техническое обслуживание медицинской техники.</w:t>
      </w:r>
    </w:p>
    <w:p>
      <w:pPr>
        <w:pStyle w:val="Style17"/>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приложении № 1 к извещению «Описание объекта закупки/Техннческсе задание» в пункте «Требования по сопутствующему монтажу поставленного оборудования, пуско-наладочным и иным работам» установлено требование «Ввод в эксплуатацию медицинской техники должен проводиться поставщиком без привлечения соисполнителей в соответствии с методическими рекомендациями «Техническое обслуживание медицинской техники», утвержденных Минпромнауки РФ (10.10.03г.) и М3 РФ (24.09.03г.) и нормативно-технической документацией на данное оборудование».</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Требование о наличии собственной лицензии, в том числе, было установлено ввиду того, что указанное оборудование является технологически сложным, требующих особых знаний при его установки.</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составе заявки ООО «Медренсервис» (ИНН 4027116659), представленной оператором электронной площадки, отсутствует документ, подтверждающий наличие у участника закупки лицензии на техническое обслуживание медицинской техники. Участником закупки приложена выписка из реестра лицензий Росздравнадзора по состоянию на 25.07.2022 г., выданная на соисполнителя ООО «Мосрентгенпром» (ИНН 7704506621) на техническое обслуживание медицинской техники. Вместе с тем, собственной лицензии на техническое обслуживание медицинской техники участник закупки, в составе заявки не представил.</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Комиссия Татарстанского У ФАС России изучив доводы жалобы заявителя, пояснения заказчика, положения извещения, приходит к следующим выводам:</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7"/>
        <w:numPr>
          <w:ilvl w:val="0"/>
          <w:numId w:val="5"/>
        </w:numPr>
        <w:widowControl w:val="0"/>
        <w:keepNext w:val="0"/>
        <w:keepLines w:val="0"/>
        <w:shd w:val="clear" w:color="auto" w:fill="auto"/>
        <w:bidi w:val="0"/>
        <w:jc w:val="both"/>
        <w:spacing w:before="0" w:after="0" w:line="324" w:lineRule="exact"/>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17"/>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7"/>
        <w:numPr>
          <w:ilvl w:val="0"/>
          <w:numId w:val="5"/>
        </w:numPr>
        <w:widowControl w:val="0"/>
        <w:keepNext w:val="0"/>
        <w:keepLines w:val="0"/>
        <w:shd w:val="clear" w:color="auto" w:fill="auto"/>
        <w:bidi w:val="0"/>
        <w:jc w:val="both"/>
        <w:spacing w:before="0" w:after="0" w:line="324" w:lineRule="exact"/>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7"/>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7"/>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пунктом 17 части 1 статьи 12 Федерального закона от 04.05.2011 № 99-ФЗ «О лицензировании отдельных видов деятельности»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w:t>
      </w:r>
    </w:p>
    <w:p>
      <w:pPr>
        <w:pStyle w:val="Style35"/>
        <w:widowControl w:val="0"/>
        <w:keepNext w:val="0"/>
        <w:keepLines w:val="0"/>
        <w:shd w:val="clear" w:color="auto" w:fill="auto"/>
        <w:bidi w:val="0"/>
        <w:spacing w:before="0" w:after="0"/>
        <w:ind w:left="20" w:right="20"/>
      </w:pPr>
      <w:r>
        <w:rPr>
          <w:rStyle w:val="CharStyle37"/>
          <w:i w:val="0"/>
          <w:iCs w:val="0"/>
        </w:rPr>
        <w:t xml:space="preserve">Согласно положениям извещения, заказчиком установлено </w:t>
      </w:r>
      <w:r>
        <w:rPr>
          <w:lang w:val="ru-RU" w:eastAsia="ru-RU" w:bidi="ru-RU"/>
          <w:w w:val="100"/>
          <w:spacing w:val="0"/>
          <w:color w:val="000000"/>
          <w:position w:val="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именно: - наличие лицензии на техническое обслуживание медицинской техники. В соответствии с Федеральным законом от 4 мая 2011 г. №99-ФЗ «О лицензировании отдельных видев деятельности» техническое обслуживание медицинской техники подлежит лицензированию. Наличие лицензии должно подтверждаться записью в реестре лицензий на официальном сайте Федеральной службы по надзору в сфере здравоохранения (Росздравнадзор.</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положениями извещения, предметом настоящей закупки является поставка 18 Аппаратов рентгеновских для флюорографии легких (цифровой), ввод его в эксплуатацию, обучение правилам эксплуатации специалистов. Поставка должна быть осуществлена в медицинские учреждения, расположенные в различных районах Республики Татарстан.</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Так, изучив положения извещения к настоящей закупки, Комиссия отмечает, что поставка и ввод в эксплуатацию медицинской техники представляет собой единый непрерывный комплексный процесс, осуществление поставки и ввода в эксплуатацию медицинской техники разными исполнителями (в том числе исполнителем и соисполнителем) может привести к срыву обеспечения медицинских организаций необходимым оборудованием своевременно и надлежащим образом, с необходимым качеством, обеспечивающим безопасность последующего применения поставленного оборудования, в том числе для пациентов и персонала.</w:t>
      </w:r>
    </w:p>
    <w:p>
      <w:pPr>
        <w:pStyle w:val="Style17"/>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Аналогичная позиция изложена в Определении Верховного суда Российской Федерации от 19 марта 2021 года по делу №А34-12608/2019.</w:t>
      </w:r>
      <w:r>
        <w:br w:type="page"/>
      </w:r>
    </w:p>
    <w:p>
      <w:pPr>
        <w:pStyle w:val="Style17"/>
        <w:widowControl w:val="0"/>
        <w:keepNext w:val="0"/>
        <w:keepLines w:val="0"/>
        <w:shd w:val="clear" w:color="auto" w:fill="auto"/>
        <w:bidi w:val="0"/>
        <w:jc w:val="both"/>
        <w:spacing w:before="0" w:after="0" w:line="360" w:lineRule="exact"/>
        <w:ind w:left="20" w:right="20" w:firstLine="700"/>
      </w:pPr>
      <w:r>
        <w:rPr>
          <w:lang w:val="ru-RU" w:eastAsia="ru-RU" w:bidi="ru-RU"/>
          <w:w w:val="100"/>
          <w:spacing w:val="0"/>
          <w:color w:val="000000"/>
          <w:position w:val="0"/>
        </w:rPr>
        <w:t>Таким образом, Комиссия приходит к выводу, что заявка заявителя, была правомерно отклонена заказчиком.</w:t>
      </w:r>
    </w:p>
    <w:p>
      <w:pPr>
        <w:pStyle w:val="Style17"/>
        <w:widowControl w:val="0"/>
        <w:keepNext w:val="0"/>
        <w:keepLines w:val="0"/>
        <w:shd w:val="clear" w:color="auto" w:fill="auto"/>
        <w:bidi w:val="0"/>
        <w:jc w:val="both"/>
        <w:spacing w:before="0" w:after="0" w:line="324" w:lineRule="exact"/>
        <w:ind w:left="20" w:right="0" w:firstLine="700"/>
      </w:pPr>
      <w:r>
        <w:rPr>
          <w:lang w:val="ru-RU" w:eastAsia="ru-RU" w:bidi="ru-RU"/>
          <w:w w:val="100"/>
          <w:spacing w:val="0"/>
          <w:color w:val="000000"/>
          <w:position w:val="0"/>
        </w:rPr>
        <w:t>Жалоба заявителя признана необоснованной.</w:t>
      </w:r>
    </w:p>
    <w:p>
      <w:pPr>
        <w:pStyle w:val="Style17"/>
        <w:widowControl w:val="0"/>
        <w:keepNext w:val="0"/>
        <w:keepLines w:val="0"/>
        <w:shd w:val="clear" w:color="auto" w:fill="auto"/>
        <w:bidi w:val="0"/>
        <w:jc w:val="both"/>
        <w:spacing w:before="0" w:after="351" w:line="324" w:lineRule="exact"/>
        <w:ind w:left="20" w:right="20" w:firstLine="70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38"/>
        <w:widowControl w:val="0"/>
        <w:keepNext/>
        <w:keepLines/>
        <w:shd w:val="clear" w:color="auto" w:fill="auto"/>
        <w:bidi w:val="0"/>
        <w:jc w:val="left"/>
        <w:spacing w:before="0" w:after="307" w:line="260" w:lineRule="exact"/>
        <w:ind w:left="4900" w:right="0" w:firstLine="0"/>
      </w:pPr>
      <w:bookmarkStart w:id="1" w:name="bookmark1"/>
      <w:r>
        <w:rPr>
          <w:lang w:val="ru-RU" w:eastAsia="ru-RU" w:bidi="ru-RU"/>
          <w:w w:val="100"/>
          <w:spacing w:val="0"/>
          <w:color w:val="000000"/>
          <w:position w:val="0"/>
        </w:rPr>
        <w:t>РЕШИЛА:</w:t>
      </w:r>
      <w:bookmarkEnd w:id="1"/>
    </w:p>
    <w:p>
      <w:pPr>
        <w:pStyle w:val="Style17"/>
        <w:widowControl w:val="0"/>
        <w:keepNext w:val="0"/>
        <w:keepLines w:val="0"/>
        <w:shd w:val="clear" w:color="auto" w:fill="auto"/>
        <w:bidi w:val="0"/>
        <w:jc w:val="both"/>
        <w:spacing w:before="0" w:after="297" w:line="324" w:lineRule="exact"/>
        <w:ind w:left="20" w:right="20" w:firstLine="700"/>
      </w:pPr>
      <w:r>
        <w:rPr>
          <w:lang w:val="ru-RU" w:eastAsia="ru-RU" w:bidi="ru-RU"/>
          <w:w w:val="100"/>
          <w:spacing w:val="0"/>
          <w:color w:val="000000"/>
          <w:position w:val="0"/>
        </w:rPr>
        <w:t>Признать жалобу заявителя ООО «Медренсервис» (вх. № 10020/ж от 03.08.2022 г.) на действие заказчика при проведении закупки № 0111200002422000685 на предмет: поставка медицинских изделий (Аппарат рентгеновский для флюорографии легких цифровой),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необоснованной.</w:t>
      </w:r>
    </w:p>
    <w:p>
      <w:pPr>
        <w:framePr w:w="2099" w:h="3719" w:wrap="around" w:vAnchor="text" w:hAnchor="margin" w:x="6270" w:y="674"/>
        <w:widowControl w:val="0"/>
        <w:rPr>
          <w:sz w:val="2"/>
          <w:szCs w:val="2"/>
        </w:rPr>
      </w:pPr>
      <w:r>
        <w:pict>
          <v:shape id="_x0000_s1031" type="#_x0000_t75" style="width:105pt;height:186pt;">
            <v:imagedata r:id="rId13" r:href="rId14"/>
          </v:shape>
        </w:pict>
      </w:r>
    </w:p>
    <w:p>
      <w:pPr>
        <w:pStyle w:val="Style32"/>
        <w:framePr w:w="1836" w:h="256" w:wrap="around" w:vAnchor="text" w:hAnchor="margin" w:x="8254" w:y="2276"/>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М.А. Тимофеев</w:t>
      </w:r>
    </w:p>
    <w:p>
      <w:pPr>
        <w:pStyle w:val="Style32"/>
        <w:framePr w:w="1739" w:h="253" w:wrap="around" w:vAnchor="text" w:hAnchor="margin" w:x="8347" w:y="2920"/>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И.И. Хусаинов</w:t>
      </w:r>
    </w:p>
    <w:p>
      <w:pPr>
        <w:pStyle w:val="Style32"/>
        <w:framePr w:w="1566" w:h="256" w:wrap="around" w:vAnchor="text" w:hAnchor="margin" w:x="8531" w:y="1624"/>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В.Р. Амирова</w:t>
      </w:r>
    </w:p>
    <w:p>
      <w:pPr>
        <w:pStyle w:val="Style17"/>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Зам. председателя Комиссии</w:t>
      </w:r>
    </w:p>
    <w:p>
      <w:pPr>
        <w:pStyle w:val="Style17"/>
        <w:widowControl w:val="0"/>
        <w:keepNext w:val="0"/>
        <w:keepLines w:val="0"/>
        <w:shd w:val="clear" w:color="auto" w:fill="auto"/>
        <w:bidi w:val="0"/>
        <w:jc w:val="left"/>
        <w:spacing w:before="0" w:after="3121" w:line="260" w:lineRule="exact"/>
        <w:ind w:left="20" w:right="0" w:firstLine="0"/>
      </w:pPr>
      <w:r>
        <w:rPr>
          <w:lang w:val="ru-RU" w:eastAsia="ru-RU" w:bidi="ru-RU"/>
          <w:w w:val="100"/>
          <w:spacing w:val="0"/>
          <w:color w:val="000000"/>
          <w:position w:val="0"/>
        </w:rPr>
        <w:t>Члены Комиссии</w:t>
      </w:r>
    </w:p>
    <w:p>
      <w:pPr>
        <w:pStyle w:val="Style40"/>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Исп.: Тимофеев Максим Александрович, Тел. (843) 238-24-86</w:t>
      </w:r>
      <w:r>
        <w:br w:type="page"/>
      </w:r>
    </w:p>
    <w:sectPr>
      <w:pgSz w:w="11909" w:h="16838"/>
      <w:pgMar w:top="1788" w:left="718" w:right="718" w:bottom="766" w:header="0" w:footer="3" w:gutter="233"/>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89.7pt;margin-top:26.4pt;width:5.05pt;height:8.8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89.7pt;margin-top:26.4pt;width:5.05pt;height:8.8pt;z-index:-188744063;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 Exact"/>
    <w:basedOn w:val="DefaultParagraphFont"/>
    <w:link w:val="Style9"/>
    <w:rPr>
      <w:b w:val="0"/>
      <w:bCs w:val="0"/>
      <w:i/>
      <w:iCs/>
      <w:u w:val="none"/>
      <w:strike w:val="0"/>
      <w:smallCaps w:val="0"/>
      <w:sz w:val="36"/>
      <w:szCs w:val="36"/>
      <w:rFonts w:ascii="Arial" w:eastAsia="Arial" w:hAnsi="Arial" w:cs="Arial"/>
      <w:spacing w:val="8"/>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3">
    <w:name w:val="Основной текст (5) Exact"/>
    <w:basedOn w:val="DefaultParagraphFont"/>
    <w:link w:val="Style12"/>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4">
    <w:name w:val="Основной текст (5) Exact"/>
    <w:basedOn w:val="CharStyle13"/>
    <w:rPr>
      <w:lang w:val="ru-RU" w:eastAsia="ru-RU" w:bidi="ru-RU"/>
      <w:w w:val="100"/>
      <w:color w:val="000000"/>
      <w:position w:val="0"/>
    </w:rPr>
  </w:style>
  <w:style w:type="character" w:customStyle="1" w:styleId="CharStyle15">
    <w:name w:val="Основной текст (3) Exact"/>
    <w:basedOn w:val="DefaultParagraphFont"/>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16">
    <w:name w:val="Основной текст (3) Exact"/>
    <w:basedOn w:val="CharStyle7"/>
    <w:rPr>
      <w:lang w:val="ru-RU" w:eastAsia="ru-RU" w:bidi="ru-RU"/>
      <w:sz w:val="13"/>
      <w:szCs w:val="13"/>
      <w:w w:val="100"/>
      <w:spacing w:val="4"/>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1">
    <w:name w:val="Заголовок №2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3">
    <w:name w:val="Колонтитул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6">
    <w:name w:val="Основной текст (6)_"/>
    <w:basedOn w:val="DefaultParagraphFont"/>
    <w:link w:val="Style25"/>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7) Exact"/>
    <w:basedOn w:val="DefaultParagraphFont"/>
    <w:link w:val="Style27"/>
    <w:rPr>
      <w:b/>
      <w:bCs/>
      <w:i w:val="0"/>
      <w:iCs w:val="0"/>
      <w:u w:val="none"/>
      <w:strike w:val="0"/>
      <w:smallCaps w:val="0"/>
      <w:sz w:val="16"/>
      <w:szCs w:val="16"/>
      <w:rFonts w:ascii="Arial" w:eastAsia="Arial" w:hAnsi="Arial" w:cs="Arial"/>
      <w:spacing w:val="1"/>
    </w:rPr>
  </w:style>
  <w:style w:type="character" w:customStyle="1" w:styleId="CharStyle30">
    <w:name w:val="Основной текст (8) Exact"/>
    <w:basedOn w:val="DefaultParagraphFont"/>
    <w:rPr>
      <w:b w:val="0"/>
      <w:bCs w:val="0"/>
      <w:i w:val="0"/>
      <w:iCs w:val="0"/>
      <w:u w:val="none"/>
      <w:strike w:val="0"/>
      <w:smallCaps w:val="0"/>
      <w:sz w:val="15"/>
      <w:szCs w:val="15"/>
      <w:rFonts w:ascii="Arial" w:eastAsia="Arial" w:hAnsi="Arial" w:cs="Arial"/>
      <w:spacing w:val="5"/>
    </w:rPr>
  </w:style>
  <w:style w:type="character" w:customStyle="1" w:styleId="CharStyle31">
    <w:name w:val="Основной текст (8) + Интервал 0 pt Exact"/>
    <w:basedOn w:val="CharStyle34"/>
    <w:rPr>
      <w:sz w:val="15"/>
      <w:szCs w:val="15"/>
      <w:spacing w:val="3"/>
    </w:rPr>
  </w:style>
  <w:style w:type="character" w:customStyle="1" w:styleId="CharStyle33">
    <w:name w:val="Подпись к картинке Exact"/>
    <w:basedOn w:val="DefaultParagraphFont"/>
    <w:link w:val="Style32"/>
    <w:rPr>
      <w:b w:val="0"/>
      <w:bCs w:val="0"/>
      <w:i w:val="0"/>
      <w:iCs w:val="0"/>
      <w:u w:val="none"/>
      <w:strike w:val="0"/>
      <w:smallCaps w:val="0"/>
      <w:rFonts w:ascii="Times New Roman" w:eastAsia="Times New Roman" w:hAnsi="Times New Roman" w:cs="Times New Roman"/>
      <w:spacing w:val="7"/>
    </w:rPr>
  </w:style>
  <w:style w:type="character" w:customStyle="1" w:styleId="CharStyle34">
    <w:name w:val="Основной текст (8)_"/>
    <w:basedOn w:val="DefaultParagraphFont"/>
    <w:link w:val="Style29"/>
    <w:rPr>
      <w:b w:val="0"/>
      <w:bCs w:val="0"/>
      <w:i w:val="0"/>
      <w:iCs w:val="0"/>
      <w:u w:val="none"/>
      <w:strike w:val="0"/>
      <w:smallCaps w:val="0"/>
      <w:sz w:val="16"/>
      <w:szCs w:val="16"/>
      <w:rFonts w:ascii="Arial" w:eastAsia="Arial" w:hAnsi="Arial" w:cs="Arial"/>
    </w:rPr>
  </w:style>
  <w:style w:type="character" w:customStyle="1" w:styleId="CharStyle36">
    <w:name w:val="Основной текст (9)_"/>
    <w:basedOn w:val="DefaultParagraphFont"/>
    <w:link w:val="Style35"/>
    <w:rPr>
      <w:b w:val="0"/>
      <w:bCs w:val="0"/>
      <w:i/>
      <w:iCs/>
      <w:u w:val="none"/>
      <w:strike w:val="0"/>
      <w:smallCaps w:val="0"/>
      <w:sz w:val="26"/>
      <w:szCs w:val="26"/>
      <w:rFonts w:ascii="Times New Roman" w:eastAsia="Times New Roman" w:hAnsi="Times New Roman" w:cs="Times New Roman"/>
    </w:rPr>
  </w:style>
  <w:style w:type="character" w:customStyle="1" w:styleId="CharStyle37">
    <w:name w:val="Основной текст (9) + Не курсив"/>
    <w:basedOn w:val="CharStyle36"/>
    <w:rPr>
      <w:lang w:val="ru-RU" w:eastAsia="ru-RU" w:bidi="ru-RU"/>
      <w:i/>
      <w:iCs/>
      <w:w w:val="100"/>
      <w:spacing w:val="0"/>
      <w:color w:val="000000"/>
      <w:position w:val="0"/>
    </w:rPr>
  </w:style>
  <w:style w:type="character" w:customStyle="1" w:styleId="CharStyle39">
    <w:name w:val="Заголовок №1_"/>
    <w:basedOn w:val="DefaultParagraphFont"/>
    <w:link w:val="Style38"/>
    <w:rPr>
      <w:b w:val="0"/>
      <w:bCs w:val="0"/>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10)_"/>
    <w:basedOn w:val="DefaultParagraphFont"/>
    <w:link w:val="Style40"/>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240" w:line="277"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20" w:line="20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line="0" w:lineRule="exact"/>
    </w:pPr>
    <w:rPr>
      <w:b w:val="0"/>
      <w:bCs w:val="0"/>
      <w:i/>
      <w:iCs/>
      <w:u w:val="none"/>
      <w:strike w:val="0"/>
      <w:smallCaps w:val="0"/>
      <w:sz w:val="36"/>
      <w:szCs w:val="36"/>
      <w:rFonts w:ascii="Arial" w:eastAsia="Arial" w:hAnsi="Arial" w:cs="Arial"/>
      <w:spacing w:val="8"/>
    </w:rPr>
  </w:style>
  <w:style w:type="paragraph" w:customStyle="1" w:styleId="Style12">
    <w:name w:val="Основной текст (5)"/>
    <w:basedOn w:val="Normal"/>
    <w:link w:val="CharStyle13"/>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7">
    <w:name w:val="Основной текст"/>
    <w:basedOn w:val="Normal"/>
    <w:link w:val="CharStyle18"/>
    <w:pPr>
      <w:widowControl w:val="0"/>
      <w:shd w:val="clear" w:color="auto" w:fill="FFFFFF"/>
      <w:spacing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center"/>
      <w:outlineLvl w:val="1"/>
      <w:spacing w:before="24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320" w:lineRule="exact"/>
      <w:ind w:firstLine="720"/>
    </w:pPr>
    <w:rPr>
      <w:b/>
      <w:bCs/>
      <w:i w:val="0"/>
      <w:iCs w:val="0"/>
      <w:u w:val="none"/>
      <w:strike w:val="0"/>
      <w:smallCaps w:val="0"/>
      <w:sz w:val="26"/>
      <w:szCs w:val="26"/>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center"/>
      <w:spacing w:line="212" w:lineRule="exact"/>
    </w:pPr>
    <w:rPr>
      <w:b/>
      <w:bCs/>
      <w:i w:val="0"/>
      <w:iCs w:val="0"/>
      <w:u w:val="none"/>
      <w:strike w:val="0"/>
      <w:smallCaps w:val="0"/>
      <w:sz w:val="16"/>
      <w:szCs w:val="16"/>
      <w:rFonts w:ascii="Arial" w:eastAsia="Arial" w:hAnsi="Arial" w:cs="Arial"/>
      <w:spacing w:val="1"/>
    </w:rPr>
  </w:style>
  <w:style w:type="paragraph" w:customStyle="1" w:styleId="Style29">
    <w:name w:val="Основной текст (8)"/>
    <w:basedOn w:val="Normal"/>
    <w:link w:val="CharStyle34"/>
    <w:pPr>
      <w:widowControl w:val="0"/>
      <w:shd w:val="clear" w:color="auto" w:fill="FFFFFF"/>
      <w:spacing w:before="540" w:line="0" w:lineRule="exact"/>
    </w:pPr>
    <w:rPr>
      <w:b w:val="0"/>
      <w:bCs w:val="0"/>
      <w:i w:val="0"/>
      <w:iCs w:val="0"/>
      <w:u w:val="none"/>
      <w:strike w:val="0"/>
      <w:smallCaps w:val="0"/>
      <w:sz w:val="16"/>
      <w:szCs w:val="16"/>
      <w:rFonts w:ascii="Arial" w:eastAsia="Arial" w:hAnsi="Arial" w:cs="Arial"/>
    </w:rPr>
  </w:style>
  <w:style w:type="paragraph" w:customStyle="1" w:styleId="Style32">
    <w:name w:val="Подпись к картинке"/>
    <w:basedOn w:val="Normal"/>
    <w:link w:val="CharStyle33"/>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7"/>
    </w:rPr>
  </w:style>
  <w:style w:type="paragraph" w:customStyle="1" w:styleId="Style35">
    <w:name w:val="Основной текст (9)"/>
    <w:basedOn w:val="Normal"/>
    <w:link w:val="CharStyle36"/>
    <w:pPr>
      <w:widowControl w:val="0"/>
      <w:shd w:val="clear" w:color="auto" w:fill="FFFFFF"/>
      <w:jc w:val="both"/>
      <w:spacing w:line="324"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8">
    <w:name w:val="Заголовок №1"/>
    <w:basedOn w:val="Normal"/>
    <w:link w:val="CharStyle39"/>
    <w:pPr>
      <w:widowControl w:val="0"/>
      <w:shd w:val="clear" w:color="auto" w:fill="FFFFFF"/>
      <w:outlineLvl w:val="0"/>
      <w:spacing w:before="300"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spacing w:before="3180"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