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h="5165" w:wrap="around" w:hAnchor="margin" w:x="59" w:y="-983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207pt;height:258pt;">
            <v:imagedata r:id="rId5" r:href="rId6"/>
          </v:shape>
        </w:pic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313" w:line="260" w:lineRule="exact"/>
        <w:ind w:left="9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ИП Тевосян А. 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349" w:line="322" w:lineRule="exact"/>
        <w:ind w:left="98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350080, Краснодар, ул. Тюляева, д. 19/1, кв. 146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99" w:line="260" w:lineRule="exact"/>
        <w:ind w:left="980" w:right="0" w:firstLine="0"/>
      </w:pPr>
      <w:r>
        <w:fldChar w:fldCharType="begin"/>
      </w:r>
      <w:r>
        <w:rPr>
          <w:color w:val="000000"/>
        </w:rPr>
        <w:instrText> HYPERLINK "mailto:ip_tevosianaa@mail.ru"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ip_tevosianaa@mail.ru</w:t>
      </w:r>
      <w:r>
        <w:fldChar w:fldCharType="end"/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43" w:line="326" w:lineRule="exact"/>
        <w:ind w:left="98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ФГКУ комбинат «Сигнал» им. А.А. Григорьева Росрезерва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648" w:lineRule="exact"/>
        <w:ind w:left="9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107143, Москва, ш. Открытое, вл. 16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648" w:lineRule="exact"/>
        <w:ind w:left="980" w:right="0" w:firstLine="0"/>
      </w:pPr>
      <w:r>
        <w:fldChar w:fldCharType="begin"/>
      </w:r>
      <w:r>
        <w:rPr>
          <w:color w:val="000000"/>
        </w:rPr>
        <w:instrText> HYPERLINK "mailto:signal@cnt.rosreserv.ru"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signal@cnt.rosreserv.ru</w:t>
      </w:r>
      <w:r>
        <w:fldChar w:fldCharType="end"/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648" w:lineRule="exact"/>
        <w:ind w:left="51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АО «Сбербанк-АСТ»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26" w:line="293" w:lineRule="exact"/>
        <w:ind w:left="5160" w:right="4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119435, город Москва, переулок Большой Саввинский, дом 12, строение 9, эт/пом/ком </w:t>
      </w:r>
      <w:r>
        <w:rPr>
          <w:lang w:val="en-US" w:eastAsia="en-US" w:bidi="en-US"/>
          <w:w w:val="100"/>
          <w:spacing w:val="0"/>
          <w:color w:val="000000"/>
          <w:position w:val="0"/>
        </w:rPr>
        <w:t>1/I/2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838" w:line="260" w:lineRule="exact"/>
        <w:ind w:left="5160" w:right="0" w:firstLine="0"/>
      </w:pPr>
      <w:r>
        <w:fldChar w:fldCharType="begin"/>
      </w:r>
      <w:r>
        <w:rPr>
          <w:color w:val="000000"/>
        </w:rPr>
        <w:instrText> HYPERLINK "mailto:ko@sberbank-ast.ru"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ko@sberbank-ast.ru</w:t>
      </w:r>
      <w:r>
        <w:fldChar w:fldCharType="end"/>
      </w:r>
    </w:p>
    <w:p>
      <w:pPr>
        <w:pStyle w:val="Style10"/>
        <w:tabs>
          <w:tab w:leader="none" w:pos="11962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520" w:right="2520" w:firstLine="21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делу № 077/06/106-11562/2022 о нарушении законодательства о контрактной системе</w:t>
      </w:r>
    </w:p>
    <w:p>
      <w:pPr>
        <w:pStyle w:val="Style10"/>
        <w:numPr>
          <w:ilvl w:val="0"/>
          <w:numId w:val="3"/>
        </w:numPr>
        <w:tabs>
          <w:tab w:leader="none" w:pos="9484" w:val="left"/>
          <w:tab w:leader="none" w:pos="948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 Москва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Председательствующего — заместителя начальника отдела обжалования государственных закупок К.А. Сомова,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60" w:lineRule="exact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Специалиста-эксперта отдела обжалования государственных закупок М.О. Мацневой,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Специалиста-эксперта отдела обжалования государственных закупок Е.О. Сгибнева,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рассмотрение жалобы проводилось дистанционно (посредством конференц-связи) в целях исполнения Указа Мэра Москвы от 25.09.2020 № 92-УМ «О внесении изменений в правовые акты города Москвы» и предупреждения распространения в городе Москве инфекции, вызванной коронавирусом </w:t>
      </w:r>
      <w:r>
        <w:rPr>
          <w:lang w:val="en-US" w:eastAsia="en-US" w:bidi="en-US"/>
          <w:w w:val="100"/>
          <w:spacing w:val="0"/>
          <w:color w:val="000000"/>
          <w:position w:val="0"/>
        </w:rPr>
        <w:t>2019-nCoV,</w:t>
      </w:r>
    </w:p>
    <w:p>
      <w:pPr>
        <w:pStyle w:val="Style3"/>
        <w:framePr w:w="1685" w:h="394" w:wrap="around" w:vAnchor="text" w:hAnchor="margin" w:x="409" w:y="1158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001989790461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42" w:line="293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участии представителей ИП Тевосян А. А.: Егиазаряна А.А. (по доверенности №б/н от 27.07.2022), ФГКУ комбинат «Сигнал» им. А.А. Григорьева Росрезерва: Астафьева С.А. (по доверенности №30 от 22.06.2022),</w:t>
      </w:r>
    </w:p>
    <w:p>
      <w:pPr>
        <w:framePr w:h="461" w:wrap="notBeside" w:vAnchor="text" w:hAnchor="text" w:y="1"/>
        <w:widowControl w:val="0"/>
        <w:jc w:val="left"/>
        <w:rPr>
          <w:sz w:val="2"/>
          <w:szCs w:val="2"/>
        </w:rPr>
      </w:pPr>
      <w:r>
        <w:pict>
          <v:shape id="_x0000_s1027" type="#_x0000_t75" style="width:126pt;height:23pt;">
            <v:imagedata r:id="rId7" r:href="rId8"/>
          </v:shape>
        </w:pict>
      </w:r>
    </w:p>
    <w:p>
      <w:pPr>
        <w:widowControl w:val="0"/>
        <w:rPr>
          <w:sz w:val="2"/>
          <w:szCs w:val="2"/>
        </w:rPr>
      </w:pPr>
      <w:r>
        <w:br w:type="page"/>
      </w:r>
    </w:p>
    <w:p>
      <w:pPr>
        <w:widowControl w:val="0"/>
      </w:pPr>
      <w:r>
        <w:br w:type="page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ИП Тевосян А. А. (далее — Заявитель) на действия ФГКУ комбинат «Сигнал» им. А.А. Григорьева Росрезерва (далее — Заказчик) при проведении электронного аукциона на право заключения контракта на поставку перфораторов (Закупка № 0373100049422000103) (далее - электронный аукцион,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Административным регламентом, утвержденным приказом ФАС России от 19.11.2014 №727/14,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center"/>
        <w:spacing w:before="0" w:after="0" w:line="30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Московское УФАС России поступила жалоба Заявителя на действия аукционной комиссии Заказчика при проведении вышеуказанного аукциона.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обжалует действия аукционной комиссии Заказчика, выразившиеся в неправомерном признании заявки Заявителя соответствующей требованиям аукционной документации и Закону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Заказчиком представлены документы и сведения, запрашиваемые письмом Московского УФАС России №ЕИ/40010/22 от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02.08.2022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протоколу подведения итогов определения поставщика (подрядчика, исполнителя) от 27.07.2022 №ИЭА1 заявка Заявителя (идентификационный номер 92) признана соответствующей требованиям извещения об осуществлении закупки.</w:t>
      </w:r>
    </w:p>
    <w:p>
      <w:pPr>
        <w:pStyle w:val="Style5"/>
        <w:tabs>
          <w:tab w:leader="none" w:pos="2760" w:val="left"/>
          <w:tab w:leader="none" w:pos="3408" w:val="left"/>
        </w:tabs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п.3</w:t>
        <w:tab/>
        <w:t>ч.2</w:t>
        <w:tab/>
        <w:t>ст.42 Закона о контрактной системе, извещение об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осуществлении закупки должно содержать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5"/>
        <w:tabs>
          <w:tab w:leader="none" w:pos="3048" w:val="left"/>
        </w:tabs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ч.2</w:t>
        <w:tab/>
        <w:t>ст.33 Закона о контрактной системе документация</w:t>
      </w:r>
    </w:p>
    <w:p>
      <w:pPr>
        <w:pStyle w:val="Style5"/>
        <w:tabs>
          <w:tab w:leader="none" w:pos="9082" w:val="left"/>
        </w:tabs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закупке в соответствии с требованиями, указанными в ч.1</w:t>
        <w:tab/>
        <w:t>ст.33 Закона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98" w:line="31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Комиссией Управления установлено, что согласно извещению о проведении электронного аукциона от 15.07.2022 №0373100049422000103 объектом закупки является поставка перфораторов:</w:t>
      </w:r>
    </w:p>
    <w:tbl>
      <w:tblPr>
        <w:tblOverlap w:val="never"/>
        <w:tblLayout w:type="fixed"/>
        <w:jc w:val="center"/>
      </w:tblPr>
      <w:tblGrid>
        <w:gridCol w:w="758"/>
        <w:gridCol w:w="2266"/>
        <w:gridCol w:w="5534"/>
        <w:gridCol w:w="763"/>
        <w:gridCol w:w="1195"/>
      </w:tblGrid>
      <w:tr>
        <w:trPr>
          <w:trHeight w:val="64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5"/>
              <w:framePr w:w="1051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2"/>
              </w:rPr>
              <w:t>№ п/п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5"/>
              <w:framePr w:w="1051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2"/>
              </w:rPr>
              <w:t>Наименование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5"/>
              <w:framePr w:w="1051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2"/>
              </w:rPr>
              <w:t>Характеристики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5"/>
              <w:framePr w:w="1051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120" w:line="210" w:lineRule="exact"/>
              <w:ind w:left="180" w:right="0" w:firstLine="0"/>
            </w:pPr>
            <w:r>
              <w:rPr>
                <w:rStyle w:val="CharStyle12"/>
              </w:rPr>
              <w:t>Ед.</w:t>
            </w:r>
          </w:p>
          <w:p>
            <w:pPr>
              <w:pStyle w:val="Style5"/>
              <w:framePr w:w="1051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120" w:after="0" w:line="210" w:lineRule="exact"/>
              <w:ind w:left="180" w:right="0" w:firstLine="0"/>
            </w:pPr>
            <w:r>
              <w:rPr>
                <w:rStyle w:val="CharStyle12"/>
              </w:rPr>
              <w:t>изм.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5"/>
              <w:framePr w:w="1051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120" w:line="210" w:lineRule="exact"/>
              <w:ind w:left="20" w:right="0" w:firstLine="0"/>
            </w:pPr>
            <w:r>
              <w:rPr>
                <w:rStyle w:val="CharStyle12"/>
              </w:rPr>
              <w:t>Кол</w:t>
            </w:r>
          </w:p>
          <w:p>
            <w:pPr>
              <w:pStyle w:val="Style5"/>
              <w:framePr w:w="1051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120" w:after="0" w:line="210" w:lineRule="exact"/>
              <w:ind w:left="160" w:right="0" w:firstLine="0"/>
            </w:pPr>
            <w:r>
              <w:rPr>
                <w:rStyle w:val="CharStyle12"/>
              </w:rPr>
              <w:t>-во</w:t>
            </w:r>
          </w:p>
        </w:tc>
      </w:tr>
      <w:tr>
        <w:trPr>
          <w:trHeight w:val="1392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5"/>
              <w:framePr w:w="1051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13"/>
              </w:rPr>
              <w:t>1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5"/>
              <w:framePr w:w="1051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74" w:lineRule="exact"/>
              <w:ind w:left="0" w:right="0" w:firstLine="0"/>
            </w:pPr>
            <w:r>
              <w:rPr>
                <w:rStyle w:val="CharStyle13"/>
              </w:rPr>
              <w:t>Перфоратор аккумуляторный ОКПД2 28.24.11.000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5"/>
              <w:framePr w:w="1051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74" w:lineRule="exact"/>
              <w:ind w:left="140" w:right="0" w:firstLine="0"/>
            </w:pPr>
            <w:r>
              <w:rPr>
                <w:rStyle w:val="CharStyle13"/>
              </w:rPr>
              <w:t>Тип двигателя: бесщеточный;</w:t>
            </w:r>
          </w:p>
          <w:p>
            <w:pPr>
              <w:pStyle w:val="Style5"/>
              <w:framePr w:w="1051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74" w:lineRule="exact"/>
              <w:ind w:left="140" w:right="0" w:firstLine="0"/>
            </w:pPr>
            <w:r>
              <w:rPr>
                <w:rStyle w:val="CharStyle13"/>
              </w:rPr>
              <w:t>Напряжение аккумулятора, В: не менее 18; Реверс: наличие;</w:t>
            </w:r>
          </w:p>
          <w:p>
            <w:pPr>
              <w:pStyle w:val="Style5"/>
              <w:framePr w:w="1051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74" w:lineRule="exact"/>
              <w:ind w:left="140" w:right="0" w:firstLine="0"/>
            </w:pPr>
            <w:r>
              <w:rPr>
                <w:rStyle w:val="CharStyle13"/>
              </w:rPr>
              <w:t xml:space="preserve">Регулировка частоты вращения: наличие; Тип хвостовика: </w:t>
            </w:r>
            <w:r>
              <w:rPr>
                <w:rStyle w:val="CharStyle13"/>
                <w:lang w:val="en-US" w:eastAsia="en-US" w:bidi="en-US"/>
              </w:rPr>
              <w:t>sds-plus;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5"/>
              <w:framePr w:w="1051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80" w:right="0" w:firstLine="0"/>
            </w:pPr>
            <w:r>
              <w:rPr>
                <w:rStyle w:val="CharStyle13"/>
              </w:rPr>
              <w:t>штука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5"/>
              <w:framePr w:w="1051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13"/>
              </w:rPr>
              <w:t>2</w:t>
            </w:r>
          </w:p>
        </w:tc>
      </w:tr>
    </w:tbl>
    <w:p>
      <w:pPr>
        <w:widowControl w:val="0"/>
        <w:rPr>
          <w:sz w:val="2"/>
          <w:szCs w:val="2"/>
        </w:rPr>
      </w:pPr>
    </w:p>
    <w:tbl>
      <w:tblPr>
        <w:tblOverlap w:val="never"/>
        <w:tblLayout w:type="fixed"/>
        <w:jc w:val="center"/>
      </w:tblPr>
      <w:tblGrid>
        <w:gridCol w:w="758"/>
        <w:gridCol w:w="2266"/>
        <w:gridCol w:w="5534"/>
        <w:gridCol w:w="763"/>
        <w:gridCol w:w="1195"/>
      </w:tblGrid>
      <w:tr>
        <w:trPr>
          <w:trHeight w:val="1954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framePr w:w="10517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framePr w:w="10517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5"/>
              <w:framePr w:w="1051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60" w:line="220" w:lineRule="exact"/>
              <w:ind w:left="160" w:right="0" w:firstLine="0"/>
            </w:pPr>
            <w:r>
              <w:rPr>
                <w:rStyle w:val="CharStyle13"/>
              </w:rPr>
              <w:t>Количество режимов: не менее 3;</w:t>
            </w:r>
          </w:p>
          <w:p>
            <w:pPr>
              <w:pStyle w:val="Style5"/>
              <w:framePr w:w="1051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60" w:after="60" w:line="220" w:lineRule="exact"/>
              <w:ind w:left="160" w:right="0" w:firstLine="0"/>
            </w:pPr>
            <w:r>
              <w:rPr>
                <w:rStyle w:val="CharStyle13"/>
              </w:rPr>
              <w:t>Сила удара, Дж: не менее 1,5;</w:t>
            </w:r>
          </w:p>
          <w:p>
            <w:pPr>
              <w:pStyle w:val="Style5"/>
              <w:framePr w:w="1051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60" w:after="0" w:line="298" w:lineRule="exact"/>
              <w:ind w:left="160" w:right="0" w:firstLine="0"/>
            </w:pPr>
            <w:r>
              <w:rPr>
                <w:rStyle w:val="CharStyle13"/>
              </w:rPr>
              <w:t>Количество аккумуляторов в комплекте: не менее 1;</w:t>
            </w:r>
          </w:p>
          <w:p>
            <w:pPr>
              <w:pStyle w:val="Style5"/>
              <w:framePr w:w="1051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74" w:lineRule="exact"/>
              <w:ind w:left="160" w:right="0" w:firstLine="0"/>
            </w:pPr>
            <w:r>
              <w:rPr>
                <w:rStyle w:val="CharStyle13"/>
              </w:rPr>
              <w:t>Частота вращения шпинделя, об/мин: не менее 1350;</w:t>
            </w:r>
          </w:p>
          <w:p>
            <w:pPr>
              <w:pStyle w:val="Style5"/>
              <w:framePr w:w="1051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74" w:lineRule="exact"/>
              <w:ind w:left="160" w:right="0" w:firstLine="0"/>
            </w:pPr>
            <w:r>
              <w:rPr>
                <w:rStyle w:val="CharStyle13"/>
              </w:rPr>
              <w:t>Частота ударов в минуту: не менее 4000;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framePr w:w="10517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framePr w:w="10517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rPr>
          <w:sz w:val="2"/>
          <w:szCs w:val="2"/>
        </w:r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302" w:after="0" w:line="312" w:lineRule="exact"/>
        <w:ind w:left="40" w:right="8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 2 ч. 1 ст. 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40" w:right="8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а) с учетом положений ч. 2 ст.43 Закона о контрактной системе характеристики предлагаемого участником закупки товара, соответствующие показателям, установленным в описании объекта закупки в соответствии с ч. 2 ст. 33 Закона о контрактной системе, товарный знак (при наличии у товара товарного знака).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40" w:right="8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б) 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ч. 2 ст. 43 Закона о контрактной системе;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40" w:right="8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в) 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40" w:right="8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г) с учетом положений ч. 2 ст. 43 Закона о контрактной системе предложение по критериям, предусмотренным п. 2 и (или) 3 ч. 1 ст. 32 Закона о контрактной системе(в случае проведения конкурсов и установления таких критериев). При этом отсутствие такого предложения не является основанием для отклонения заявки на участие в закупке;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40" w:right="8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д) 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заявки на участие в закупке.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98" w:line="312" w:lineRule="exact"/>
        <w:ind w:left="4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Комиссией Управления установлено, что Заявителем предложен к поставке товар:</w:t>
      </w:r>
    </w:p>
    <w:tbl>
      <w:tblPr>
        <w:tblOverlap w:val="never"/>
        <w:tblLayout w:type="fixed"/>
        <w:jc w:val="center"/>
      </w:tblPr>
      <w:tblGrid>
        <w:gridCol w:w="768"/>
        <w:gridCol w:w="1886"/>
        <w:gridCol w:w="4402"/>
        <w:gridCol w:w="902"/>
        <w:gridCol w:w="600"/>
        <w:gridCol w:w="2266"/>
      </w:tblGrid>
      <w:tr>
        <w:trPr>
          <w:trHeight w:val="1037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5"/>
              <w:framePr w:w="1082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2"/>
              </w:rPr>
              <w:t>№ п/п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5"/>
              <w:framePr w:w="1082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2"/>
              </w:rPr>
              <w:t>Наименование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5"/>
              <w:framePr w:w="1082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2"/>
              </w:rPr>
              <w:t>Характеристики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5"/>
              <w:framePr w:w="1082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10" w:lineRule="exact"/>
              <w:ind w:left="60" w:right="0" w:firstLine="0"/>
            </w:pPr>
            <w:r>
              <w:rPr>
                <w:rStyle w:val="CharStyle12"/>
              </w:rPr>
              <w:t>Ед. изм.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5"/>
              <w:framePr w:w="1082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60" w:line="210" w:lineRule="exact"/>
              <w:ind w:left="0" w:right="100" w:firstLine="0"/>
            </w:pPr>
            <w:r>
              <w:rPr>
                <w:rStyle w:val="CharStyle12"/>
              </w:rPr>
              <w:t>Кол</w:t>
            </w:r>
          </w:p>
          <w:p>
            <w:pPr>
              <w:pStyle w:val="Style5"/>
              <w:framePr w:w="1082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60" w:after="0" w:line="210" w:lineRule="exact"/>
              <w:ind w:left="0" w:right="100" w:firstLine="0"/>
            </w:pPr>
            <w:r>
              <w:rPr>
                <w:rStyle w:val="CharStyle12"/>
              </w:rPr>
              <w:t>-во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5"/>
              <w:framePr w:w="1082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40" w:lineRule="exact"/>
              <w:ind w:left="0" w:right="0" w:firstLine="0"/>
            </w:pPr>
            <w:r>
              <w:rPr>
                <w:rStyle w:val="CharStyle12"/>
              </w:rPr>
              <w:t>Страна</w:t>
            </w:r>
          </w:p>
          <w:p>
            <w:pPr>
              <w:pStyle w:val="Style5"/>
              <w:framePr w:w="1082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40" w:lineRule="exact"/>
              <w:ind w:left="0" w:right="0" w:firstLine="0"/>
            </w:pPr>
            <w:r>
              <w:rPr>
                <w:rStyle w:val="CharStyle12"/>
              </w:rPr>
              <w:t>происхождения</w:t>
            </w:r>
          </w:p>
          <w:p>
            <w:pPr>
              <w:pStyle w:val="Style5"/>
              <w:framePr w:w="1082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40" w:lineRule="exact"/>
              <w:ind w:left="0" w:right="0" w:firstLine="0"/>
            </w:pPr>
            <w:r>
              <w:rPr>
                <w:rStyle w:val="CharStyle12"/>
              </w:rPr>
              <w:t>товара</w:t>
            </w:r>
          </w:p>
        </w:tc>
      </w:tr>
      <w:tr>
        <w:trPr>
          <w:trHeight w:val="1699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5"/>
              <w:framePr w:w="1082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4"/>
              </w:rPr>
              <w:t>1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5"/>
              <w:framePr w:w="1082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35" w:lineRule="exact"/>
              <w:ind w:left="0" w:right="0" w:firstLine="0"/>
            </w:pPr>
            <w:r>
              <w:rPr>
                <w:rStyle w:val="CharStyle14"/>
              </w:rPr>
              <w:t>Перфоратор</w:t>
            </w:r>
          </w:p>
          <w:p>
            <w:pPr>
              <w:pStyle w:val="Style5"/>
              <w:framePr w:w="1082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35" w:lineRule="exact"/>
              <w:ind w:left="0" w:right="0" w:firstLine="0"/>
            </w:pPr>
            <w:r>
              <w:rPr>
                <w:rStyle w:val="CharStyle14"/>
              </w:rPr>
              <w:t>аккумуляторный</w:t>
            </w:r>
          </w:p>
          <w:p>
            <w:pPr>
              <w:pStyle w:val="Style5"/>
              <w:framePr w:w="1082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35" w:lineRule="exact"/>
              <w:ind w:left="0" w:right="0" w:firstLine="0"/>
            </w:pPr>
            <w:r>
              <w:rPr>
                <w:rStyle w:val="CharStyle14"/>
              </w:rPr>
              <w:t>ОКПД2</w:t>
            </w:r>
          </w:p>
          <w:p>
            <w:pPr>
              <w:pStyle w:val="Style5"/>
              <w:framePr w:w="1082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35" w:lineRule="exact"/>
              <w:ind w:left="0" w:right="0" w:firstLine="0"/>
            </w:pPr>
            <w:r>
              <w:rPr>
                <w:rStyle w:val="CharStyle14"/>
              </w:rPr>
              <w:t>28.24.11.000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5"/>
              <w:framePr w:w="1082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0" w:lineRule="exact"/>
              <w:ind w:left="140" w:right="0" w:firstLine="0"/>
            </w:pPr>
            <w:r>
              <w:rPr>
                <w:rStyle w:val="CharStyle14"/>
              </w:rPr>
              <w:t>Тип двигателя: бесщеточный; Напряжение аккумулятора, В: 20;</w:t>
            </w:r>
          </w:p>
          <w:p>
            <w:pPr>
              <w:pStyle w:val="Style5"/>
              <w:framePr w:w="1082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0" w:lineRule="exact"/>
              <w:ind w:left="140" w:right="0" w:firstLine="0"/>
            </w:pPr>
            <w:r>
              <w:rPr>
                <w:rStyle w:val="CharStyle14"/>
              </w:rPr>
              <w:t>Реверс: наличие;</w:t>
            </w:r>
          </w:p>
          <w:p>
            <w:pPr>
              <w:pStyle w:val="Style5"/>
              <w:framePr w:w="1082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0" w:lineRule="exact"/>
              <w:ind w:left="140" w:right="0" w:firstLine="0"/>
            </w:pPr>
            <w:r>
              <w:rPr>
                <w:rStyle w:val="CharStyle14"/>
              </w:rPr>
              <w:t xml:space="preserve">Регулировка частоты вращения: наличие; Тип хвостовика: </w:t>
            </w:r>
            <w:r>
              <w:rPr>
                <w:rStyle w:val="CharStyle14"/>
                <w:lang w:val="en-US" w:eastAsia="en-US" w:bidi="en-US"/>
              </w:rPr>
              <w:t>sds-plus;</w:t>
            </w:r>
          </w:p>
          <w:p>
            <w:pPr>
              <w:pStyle w:val="Style5"/>
              <w:framePr w:w="1082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0" w:lineRule="exact"/>
              <w:ind w:left="140" w:right="0" w:firstLine="0"/>
            </w:pPr>
            <w:r>
              <w:rPr>
                <w:rStyle w:val="CharStyle14"/>
              </w:rPr>
              <w:t>Количество режимов: 3;</w:t>
            </w:r>
          </w:p>
          <w:p>
            <w:pPr>
              <w:pStyle w:val="Style5"/>
              <w:framePr w:w="1082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0" w:lineRule="exact"/>
              <w:ind w:left="140" w:right="0" w:firstLine="0"/>
            </w:pPr>
            <w:r>
              <w:rPr>
                <w:rStyle w:val="CharStyle14"/>
              </w:rPr>
              <w:t>Сила удара, Дж: 2;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5"/>
              <w:framePr w:w="1082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10" w:lineRule="exact"/>
              <w:ind w:left="180" w:right="0" w:firstLine="0"/>
            </w:pPr>
            <w:r>
              <w:rPr>
                <w:rStyle w:val="CharStyle14"/>
              </w:rPr>
              <w:t>штука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5"/>
              <w:framePr w:w="1082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10" w:lineRule="exact"/>
              <w:ind w:left="240" w:right="0" w:firstLine="0"/>
            </w:pPr>
            <w:r>
              <w:rPr>
                <w:rStyle w:val="CharStyle14"/>
              </w:rPr>
              <w:t>2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5"/>
              <w:framePr w:w="1082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4"/>
              </w:rPr>
              <w:t>Россия</w:t>
            </w:r>
          </w:p>
        </w:tc>
      </w:tr>
    </w:tbl>
    <w:p>
      <w:pPr>
        <w:widowControl w:val="0"/>
        <w:rPr>
          <w:sz w:val="2"/>
          <w:szCs w:val="2"/>
        </w:rPr>
      </w:pPr>
    </w:p>
    <w:tbl>
      <w:tblPr>
        <w:tblOverlap w:val="never"/>
        <w:tblLayout w:type="fixed"/>
        <w:jc w:val="center"/>
      </w:tblPr>
      <w:tblGrid>
        <w:gridCol w:w="763"/>
        <w:gridCol w:w="1886"/>
        <w:gridCol w:w="4402"/>
        <w:gridCol w:w="902"/>
        <w:gridCol w:w="600"/>
        <w:gridCol w:w="2266"/>
      </w:tblGrid>
      <w:tr>
        <w:trPr>
          <w:trHeight w:val="739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framePr w:w="10819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framePr w:w="10819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5"/>
              <w:framePr w:w="1081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0" w:lineRule="exact"/>
              <w:ind w:left="140" w:right="0" w:firstLine="0"/>
            </w:pPr>
            <w:r>
              <w:rPr>
                <w:rStyle w:val="CharStyle14"/>
              </w:rPr>
              <w:t>Количество аккумуляторов в комплекте: 2; Частота вращения шпинделя, об/мин: 1400; Частота ударов в минуту: 4500;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framePr w:w="10819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framePr w:w="10819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framePr w:w="10819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rPr>
          <w:sz w:val="2"/>
          <w:szCs w:val="2"/>
        </w:r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302" w:after="0" w:line="312" w:lineRule="exact"/>
        <w:ind w:left="40" w:right="6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Также в составе заявки Заявителем указан реестровый номер из реестра российской промышленной продукции в соответствии с установленным Заказчиком запретом согласно Постановлению Правительства РФ от 30.04.2020 № 616 «Об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государства»: № 4558\22\2021.</w:t>
      </w:r>
    </w:p>
    <w:p>
      <w:pPr>
        <w:pStyle w:val="Style5"/>
        <w:tabs>
          <w:tab w:leader="none" w:pos="3899" w:val="left"/>
          <w:tab w:leader="none" w:pos="6275" w:val="left"/>
          <w:tab w:leader="none" w:pos="10754" w:val="right"/>
        </w:tabs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40" w:right="6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составе жалобы Заявитель указывает на то, что предложенный к поставке товар является сетевым, что фактически указывает на его несоответствие требованиям технической части, согласно которой Заказчику требуется к поставке аккумуляторное изделие. Вывод о несоответствии товара можно сделать на основании сведений из информационной теле-коммуникационной сети «Интернет» на официальном сайте производителя</w:t>
        <w:tab/>
        <w:t>по</w:t>
        <w:tab/>
        <w:t>следующему</w:t>
        <w:tab/>
        <w:t>адресу: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40" w:right="220" w:firstLine="0"/>
      </w:pPr>
      <w:r>
        <w:fldChar w:fldCharType="begin"/>
      </w:r>
      <w:r>
        <w:rPr>
          <w:color w:val="000000"/>
        </w:rPr>
        <w:instrText> HYPERLINK "https://zdphiolent.ru/katalog/elektroinstrument-2/dreli/mashina-sverlilnaya-udarnaya-msu10-"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https://zdphiolent.ru/katalog/elektroinstrument-2/dreli/mashina-sverlilnaya-udarnaya-msu10-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13-re/.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40" w:right="6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 и участвовать в ее рассмотрении лично или через своих представителей.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6" w:lineRule="exact"/>
        <w:ind w:left="40" w:right="6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представитель Заказчика пояснил, что заявка ИП Тевосян А. А. признана соответствующей требованиям аукционной документации, ввиду того, что участником закупки посредством подачи заявки выражено согласие с условиями, отраженными в документации о закупке, а также представлены сведения о характеристиках товара, которые полностью соответствуют требованиям аукционной документации и потребности Заказчика, кроме того, указан номер реестровой записи № 4558\22\2021 из реестра российской промышленной продукции, в отношении которого также отсутствовало указание о том, что данная машина является сетевой.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6" w:lineRule="exact"/>
        <w:ind w:left="40" w:right="6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считает необходимым отметить, что под недостоверными сведениями следует понимать сведения, не соответствующие действительности.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6" w:lineRule="exact"/>
        <w:ind w:left="40" w:right="6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свою очередь, исходя из правовой позиции Верховного Суда Российской Федерации, изложенной в постановлении от 24.02.2005 № 3 «О судебной практике по делам о защите чести и достоинства граждан, а также деловой репутации граждан и юридических лиц», под не соответствующими действительности сведениями понимаются утверждения о фактах или событиях, которые не имели места в реальности во время, к которому относятся оспариваемые сведения (п. 7).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40" w:right="6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как следует из материалов дела, поданная ИП Тевосян А. А. заявка в части оспариваемых сведений требованиям аукционной документации соответствовала. Каких-либо оснований сомневаться в достоверности представленных в них сведений в контексте ч. 5 ст. 10 Гражданского кодекса Российской Федерации (ГК РФ) (в силу которой добросовестность участников гражданских правоотношений и разумность их действий предполагаются) у Заказчика не имелось, неопровержимыми доказательствами недостоверности таких сведений последний не располагал.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пп. «а» п. 1 ч. 5 ст.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 4 ч. 4 ст.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п. 1 - 8 ч. 12 ст. 48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п. 2 и 3 ч. 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непредставления информации и документов, предусмотренных п. 2 и 3 ч. 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несоответствия участника закупки требованиям, установленным в извещении об осуществлении закупки в соответствии с ч. 1 ст. 31 Закона о контрактной системе, требованиям, установленным в извещении об осуществлении закупки в соответствии с</w:t>
      </w:r>
    </w:p>
    <w:p>
      <w:pPr>
        <w:pStyle w:val="Style5"/>
        <w:tabs>
          <w:tab w:leader="none" w:pos="352" w:val="left"/>
        </w:tabs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ч.</w:t>
        <w:tab/>
        <w:t>1.1, 2 и 2.1 (при наличии таких требований) ст. 31 Закона о контрактной ситсеме;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предусмотренных нормативными правовыми актами, принятыми в соответствии со ст. 14 Закона о контрактной системе (за исключением случаев непредставления информации и документов, предусмотренных п. 5 ч. 1 ст. 43 Закона о контрактной системе);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непредставления информации и документов, предусмотренных п. 5 ч. 1 ст. 43 Закона о контрактной системе, если такие документы предусмотрены нормативными правовыми актами, принятыми в соответствии с ч. 3 ст. 14 Закона о контрактной системе (в случае установления в соответствии со ст. 14 Закона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выявления отнесения участника закупки к организациям, предусмотренным п. 4 ст.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предусмотренных ч. 6 ст. 45 Закона о контрактной системе;</w:t>
      </w:r>
      <w:r>
        <w:br w:type="page"/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выявления недостоверной информации, содержащейся в заявке на участие в закупке;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указания информации о предложении участника закупки, предусмотренном п. 3 или п. 4 ч. 1 ст. 43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Комиссия Управления приходит к выводу о том, что решение аукционной комиссии Заказчика о признании заявки ИП Тевосян А. А. соответствующей требованиям извещения данного электронного аукциона является правомерным.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 в ходе проведения внеплановой проверки Комиссией Управления установлено следующее.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Заявителем предложен к поставке перфоратор аккумуляторный, указанный номер из реестра российской промышленной продукции относится к сверлильной машине с ударом МСУ10-13-РЭ М «Мастер» (в кейсе) производства АО «Завод Фиолент».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материалы дела представителем Заявителя представлено письмо АО «Завод Фиолент» от 05.08.2022 №69/6404, согласно которому вышеуказанная машина, сведения о которой содержатся в реестре российской промышленной продукции, не имеет источников автономного питания (аккумуляторов и прочее).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Комиссия Управления приходит к выводу о том, что в составе заявки участником закупки представлены недостоверные сведения, поскольку предложена к поставке сверлильная машина с ударом МСУ10-13-РЭ М «Мастер», согласно первой части заявки которая является аккумуляторной, что не соответствует действительно согласно письму производителя и подтверждает, что изделие работает от сети.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349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Исследовав представленные материалы, руководствуясь Административным регламентом и Законом о контрактной системе, Комиссия Управления</w:t>
      </w:r>
    </w:p>
    <w:p>
      <w:pPr>
        <w:pStyle w:val="Style15"/>
        <w:widowControl w:val="0"/>
        <w:keepNext/>
        <w:keepLines/>
        <w:shd w:val="clear" w:color="auto" w:fill="auto"/>
        <w:bidi w:val="0"/>
        <w:spacing w:before="0" w:after="284" w:line="260" w:lineRule="exact"/>
        <w:ind w:left="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Р Е Ш И Л А:</w:t>
      </w:r>
      <w:bookmarkEnd w:id="0"/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 w:line="34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жалобу ИП Тевосян А. А. на действия аукционной комиссии ФГКУ комбинат «Сигнал» им. А.А. Григорьева Росрезерва необоснованной.</w:t>
      </w:r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 w:line="346" w:lineRule="exact"/>
        <w:ind w:left="20" w:right="20" w:firstLine="720"/>
        <w:sectPr>
          <w:headerReference w:type="default" r:id="rId9"/>
          <w:footerReference w:type="default" r:id="rId10"/>
          <w:footerReference w:type="first" r:id="rId11"/>
          <w:titlePg/>
          <w:footnotePr>
            <w:pos w:val="pageBottom"/>
            <w:numFmt w:val="decimal"/>
            <w:numRestart w:val="continuous"/>
          </w:footnotePr>
          <w:type w:val="continuous"/>
          <w:pgSz w:w="11909" w:h="16838"/>
          <w:pgMar w:top="1364" w:left="497" w:right="579" w:bottom="721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widowControl w:val="0"/>
        <w:spacing w:line="71" w:lineRule="exact"/>
        <w:rPr>
          <w:sz w:val="6"/>
          <w:szCs w:val="6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framePr w:w="2958" w:h="888" w:wrap="around" w:vAnchor="text" w:hAnchor="margin" w:x="-9076" w:y="1"/>
        <w:widowControl w:val="0"/>
        <w:keepNext w:val="0"/>
        <w:keepLines w:val="0"/>
        <w:shd w:val="clear" w:color="auto" w:fill="auto"/>
        <w:bidi w:val="0"/>
        <w:jc w:val="left"/>
        <w:spacing w:before="0" w:after="367" w:line="240" w:lineRule="exact"/>
        <w:ind w:left="0" w:right="0" w:firstLine="0"/>
      </w:pPr>
      <w:r>
        <w:rPr>
          <w:rStyle w:val="CharStyle17"/>
          <w:spacing w:val="0"/>
        </w:rPr>
        <w:t>Председательствующий</w:t>
      </w:r>
    </w:p>
    <w:p>
      <w:pPr>
        <w:pStyle w:val="Style5"/>
        <w:framePr w:w="2958" w:h="888" w:wrap="around" w:vAnchor="text" w:hAnchor="margin" w:x="-9076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rStyle w:val="CharStyle17"/>
          <w:spacing w:val="0"/>
        </w:rPr>
        <w:t>Члены Комиссии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right"/>
        <w:spacing w:before="0" w:after="0" w:line="648" w:lineRule="exact"/>
        <w:ind w:left="0" w:right="300" w:firstLine="0"/>
        <w:sectPr>
          <w:type w:val="continuous"/>
          <w:pgSz w:w="11909" w:h="16838"/>
          <w:pgMar w:top="1264" w:left="9567" w:right="461" w:bottom="1610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К.А. Сомов Е.О. Сгибнев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8" w:after="8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framePr w:h="245" w:wrap="notBeside" w:hAnchor="margin" w:x="8927" w:y="12126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17"/>
          <w:spacing w:val="0"/>
        </w:rPr>
        <w:t>М.О. Мацнева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3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Исп.Мацнева М.О. тел.8(495)784-75-05</w:t>
      </w:r>
    </w:p>
    <w:sectPr>
      <w:type w:val="continuous"/>
      <w:pgSz w:w="11909" w:h="16838"/>
      <w:pgMar w:top="1264" w:left="485" w:right="9279" w:bottom="1610" w:header="0" w:footer="3" w:gutter="0"/>
      <w:rtlGutter w:val="0"/>
      <w:cols w:space="720"/>
      <w:noEndnote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9" type="#_x0000_t202" style="position:absolute;margin-left:27.35pt;margin-top:809.15pt;width:57.1pt;height:7.9pt;z-index:-188744063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7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9"/>
                  </w:rPr>
                  <w:t>2022-45123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30" type="#_x0000_t202" style="position:absolute;margin-left:28.2pt;margin-top:811.55pt;width:56.65pt;height:7.9pt;z-index:-188744062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7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9"/>
                  </w:rPr>
                  <w:t>2022-45123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292.8pt;margin-top:45.pt;width:5.3pt;height:7.9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7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9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22"/>
      <w:numFmt w:val="decimal"/>
      <w:lvlText w:val="05.08.%1"/>
      <w:rPr>
        <w:lang w:val="ru-RU" w:eastAsia="ru-RU" w:bidi="ru-RU"/>
        <w:b/>
        <w:bCs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Штрих-код (2)_"/>
    <w:basedOn w:val="DefaultParagraphFont"/>
    <w:link w:val="Style3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8">
    <w:name w:val="Колонтитул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21"/>
      <w:szCs w:val="21"/>
      <w:rFonts w:ascii="Tahoma" w:eastAsia="Tahoma" w:hAnsi="Tahoma" w:cs="Tahoma"/>
    </w:rPr>
  </w:style>
  <w:style w:type="character" w:customStyle="1" w:styleId="CharStyle9">
    <w:name w:val="Колонтитул"/>
    <w:basedOn w:val="CharStyle8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1">
    <w:name w:val="Основной текст (2)_"/>
    <w:basedOn w:val="DefaultParagraphFont"/>
    <w:link w:val="Style10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2">
    <w:name w:val="Основной текст + 10,5 pt,Полужирный"/>
    <w:basedOn w:val="CharStyle6"/>
    <w:rPr>
      <w:lang w:val="ru-RU" w:eastAsia="ru-RU" w:bidi="ru-RU"/>
      <w:b/>
      <w:bCs/>
      <w:sz w:val="21"/>
      <w:szCs w:val="21"/>
      <w:w w:val="100"/>
      <w:spacing w:val="0"/>
      <w:color w:val="000000"/>
      <w:position w:val="0"/>
    </w:rPr>
  </w:style>
  <w:style w:type="character" w:customStyle="1" w:styleId="CharStyle13">
    <w:name w:val="Основной текст + 11 pt"/>
    <w:basedOn w:val="CharStyle6"/>
    <w:rPr>
      <w:lang w:val="ru-RU" w:eastAsia="ru-RU" w:bidi="ru-RU"/>
      <w:sz w:val="22"/>
      <w:szCs w:val="22"/>
      <w:w w:val="100"/>
      <w:spacing w:val="0"/>
      <w:color w:val="000000"/>
      <w:position w:val="0"/>
    </w:rPr>
  </w:style>
  <w:style w:type="character" w:customStyle="1" w:styleId="CharStyle14">
    <w:name w:val="Основной текст + 10,5 pt"/>
    <w:basedOn w:val="CharStyle6"/>
    <w:rPr>
      <w:lang w:val="ru-RU" w:eastAsia="ru-RU" w:bidi="ru-RU"/>
      <w:sz w:val="21"/>
      <w:szCs w:val="21"/>
      <w:w w:val="100"/>
      <w:spacing w:val="0"/>
      <w:color w:val="000000"/>
      <w:position w:val="0"/>
    </w:rPr>
  </w:style>
  <w:style w:type="character" w:customStyle="1" w:styleId="CharStyle16">
    <w:name w:val="Заголовок №1_"/>
    <w:basedOn w:val="DefaultParagraphFont"/>
    <w:link w:val="Style15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7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3"/>
    </w:rPr>
  </w:style>
  <w:style w:type="character" w:customStyle="1" w:styleId="CharStyle19">
    <w:name w:val="Основной текст (3)_"/>
    <w:basedOn w:val="DefaultParagraphFont"/>
    <w:link w:val="Style18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3">
    <w:name w:val="Штрих-код (2)"/>
    <w:basedOn w:val="Normal"/>
    <w:link w:val="CharStyle4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jc w:val="both"/>
      <w:spacing w:after="42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7">
    <w:name w:val="Колонтитул"/>
    <w:basedOn w:val="Normal"/>
    <w:link w:val="CharStyle8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ahoma" w:eastAsia="Tahoma" w:hAnsi="Tahoma" w:cs="Tahoma"/>
    </w:rPr>
  </w:style>
  <w:style w:type="paragraph" w:customStyle="1" w:styleId="Style10">
    <w:name w:val="Основной текст (2)"/>
    <w:basedOn w:val="Normal"/>
    <w:link w:val="CharStyle11"/>
    <w:pPr>
      <w:widowControl w:val="0"/>
      <w:shd w:val="clear" w:color="auto" w:fill="FFFFFF"/>
      <w:spacing w:before="960" w:line="322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FFFFFF"/>
      <w:jc w:val="center"/>
      <w:outlineLvl w:val="0"/>
      <w:spacing w:before="300" w:after="42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8">
    <w:name w:val="Основной текст (3)"/>
    <w:basedOn w:val="Normal"/>
    <w:link w:val="CharStyle19"/>
    <w:pPr>
      <w:widowControl w:val="0"/>
      <w:shd w:val="clear" w:color="auto" w:fill="FFFFFF"/>
      <w:spacing w:line="25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footer" Target="footer2.xml"/></Relationships>
</file>