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4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9pt;height:47pt;">
            <v:imagedata r:id="rId5" r:href="rId6"/>
          </v:shape>
        </w:pict>
      </w:r>
    </w:p>
    <w:p>
      <w:pPr>
        <w:widowControl w:val="0"/>
        <w:rPr>
          <w:sz w:val="2"/>
          <w:szCs w:val="2"/>
        </w:rPr>
      </w:pPr>
    </w:p>
    <w:p>
      <w:pPr>
        <w:widowControl w:val="0"/>
        <w:rPr>
          <w:sz w:val="2"/>
          <w:szCs w:val="2"/>
        </w:rPr>
        <w:sectPr>
          <w:headerReference w:type="even" r:id="rId7"/>
          <w:headerReference w:type="default" r:id="rId8"/>
          <w:footerReference w:type="even" r:id="rId9"/>
          <w:footerReference w:type="default" r:id="rId10"/>
          <w:footerReference w:type="first" r:id="rId11"/>
          <w:titlePg/>
          <w:footnotePr>
            <w:pos w:val="pageBottom"/>
            <w:numFmt w:val="decimal"/>
            <w:numRestart w:val="continuous"/>
          </w:footnotePr>
          <w:type w:val="continuous"/>
          <w:pgSz w:w="11909" w:h="16838"/>
          <w:pgMar w:top="660" w:left="2759" w:right="8356" w:bottom="994" w:header="0" w:footer="3" w:gutter="0"/>
          <w:rtlGutter w:val="0"/>
          <w:cols w:space="720"/>
          <w:noEndnote/>
          <w:docGrid w:linePitch="360"/>
        </w:sectPr>
      </w:pPr>
    </w:p>
    <w:p>
      <w:pPr>
        <w:pStyle w:val="Style6"/>
        <w:framePr w:h="460" w:wrap="around" w:vAnchor="text" w:hAnchor="margin" w:x="3469" w:y="3623"/>
        <w:widowControl w:val="0"/>
        <w:keepNext w:val="0"/>
        <w:keepLines w:val="0"/>
        <w:shd w:val="clear" w:color="auto" w:fill="auto"/>
        <w:bidi w:val="0"/>
        <w:jc w:val="left"/>
        <w:spacing w:before="0" w:after="0" w:line="460" w:lineRule="exact"/>
        <w:ind w:left="100" w:right="0" w:firstLine="0"/>
      </w:pPr>
      <w:r>
        <w:rPr>
          <w:lang w:val="ru-RU" w:eastAsia="ru-RU" w:bidi="ru-RU"/>
          <w:w w:val="100"/>
          <w:spacing w:val="0"/>
          <w:color w:val="000000"/>
          <w:position w:val="0"/>
        </w:rPr>
        <w:t>и</w:t>
      </w:r>
    </w:p>
    <w:p>
      <w:pPr>
        <w:widowControl w:val="0"/>
        <w:rPr>
          <w:sz w:val="2"/>
          <w:szCs w:val="2"/>
        </w:rPr>
      </w:pPr>
    </w:p>
    <w:p>
      <w:pPr>
        <w:pStyle w:val="Style8"/>
        <w:widowControl w:val="0"/>
        <w:keepNext w:val="0"/>
        <w:keepLines w:val="0"/>
        <w:shd w:val="clear" w:color="auto" w:fill="auto"/>
        <w:bidi w:val="0"/>
        <w:spacing w:before="0" w:after="145"/>
        <w:ind w:left="0" w:right="0" w:firstLine="0"/>
      </w:pPr>
      <w:r>
        <w:rPr>
          <w:lang w:val="ru-RU" w:eastAsia="ru-RU" w:bidi="ru-RU"/>
          <w:w w:val="100"/>
          <w:spacing w:val="0"/>
          <w:color w:val="000000"/>
          <w:position w:val="0"/>
        </w:rPr>
        <w:t>ФЕДЕРАЛЬНАЯ АНТИМОНОПОЛЬНАЯ СЛУЖБА</w:t>
      </w:r>
    </w:p>
    <w:p>
      <w:pPr>
        <w:pStyle w:val="Style8"/>
        <w:widowControl w:val="0"/>
        <w:keepNext w:val="0"/>
        <w:keepLines w:val="0"/>
        <w:shd w:val="clear" w:color="auto" w:fill="auto"/>
        <w:bidi w:val="0"/>
        <w:spacing w:before="0" w:after="131" w:line="217"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Ишушетия</w:t>
      </w:r>
    </w:p>
    <w:p>
      <w:pPr>
        <w:pStyle w:val="Style10"/>
        <w:widowControl w:val="0"/>
        <w:keepNext w:val="0"/>
        <w:keepLines w:val="0"/>
        <w:shd w:val="clear" w:color="auto" w:fill="auto"/>
        <w:bidi w:val="0"/>
        <w:spacing w:before="0" w:after="39"/>
        <w:ind w:left="0" w:right="0" w:firstLine="0"/>
      </w:pPr>
      <w:r>
        <w:rPr>
          <w:lang w:val="ru-RU" w:eastAsia="ru-RU" w:bidi="ru-RU"/>
          <w:w w:val="100"/>
          <w:spacing w:val="0"/>
          <w:color w:val="000000"/>
          <w:position w:val="0"/>
        </w:rPr>
        <w:t xml:space="preserve">ул. Победы, 3, корп. «С» г. Назрань, 386102 тел./факс (8732) 22-87-28 </w:t>
      </w:r>
      <w:r>
        <w:rPr>
          <w:lang w:val="en-US" w:eastAsia="en-US" w:bidi="en-US"/>
          <w:w w:val="100"/>
          <w:spacing w:val="0"/>
          <w:color w:val="000000"/>
          <w:position w:val="0"/>
        </w:rPr>
        <w:t xml:space="preserve">e-mail: </w:t>
      </w:r>
      <w:r>
        <w:fldChar w:fldCharType="begin"/>
      </w:r>
      <w:r>
        <w:rPr>
          <w:color w:val="000000"/>
        </w:rPr>
        <w:instrText> HYPERLINK "mailto:to06@fas.gov.ru" </w:instrText>
      </w:r>
      <w:r>
        <w:fldChar w:fldCharType="separate"/>
      </w:r>
      <w:r>
        <w:rPr>
          <w:rStyle w:val="Hyperlink"/>
          <w:lang w:val="en-US" w:eastAsia="en-US" w:bidi="en-US"/>
          <w:w w:val="100"/>
          <w:spacing w:val="0"/>
          <w:position w:val="0"/>
        </w:rPr>
        <w:t>to06@fas.gov.ru</w:t>
      </w:r>
      <w:r>
        <w:fldChar w:fldCharType="end"/>
      </w:r>
    </w:p>
    <w:p>
      <w:pPr>
        <w:pStyle w:val="Style12"/>
        <w:widowControl w:val="0"/>
        <w:keepNext/>
        <w:keepLines/>
        <w:shd w:val="clear" w:color="auto" w:fill="auto"/>
        <w:bidi w:val="0"/>
        <w:jc w:val="left"/>
        <w:spacing w:before="0" w:after="103" w:line="380" w:lineRule="exact"/>
        <w:ind w:left="240" w:right="0" w:firstLine="0"/>
      </w:pPr>
      <w:bookmarkStart w:id="0" w:name="bookmark0"/>
      <w:r>
        <w:rPr>
          <w:rStyle w:val="CharStyle14"/>
          <w:i/>
          <w:iCs/>
        </w:rPr>
        <w:t>1MUMI</w:t>
      </w:r>
      <w:r>
        <w:rPr>
          <w:rStyle w:val="CharStyle15"/>
          <w:i w:val="0"/>
          <w:iCs w:val="0"/>
        </w:rPr>
        <w:t xml:space="preserve"> </w:t>
      </w:r>
      <w:r>
        <w:rPr>
          <w:rStyle w:val="CharStyle16"/>
          <w:i w:val="0"/>
          <w:iCs w:val="0"/>
        </w:rPr>
        <w:t>№</w:t>
      </w:r>
      <w:bookmarkEnd w:id="0"/>
    </w:p>
    <w:p>
      <w:pPr>
        <w:pStyle w:val="Style8"/>
        <w:tabs>
          <w:tab w:leader="underscore" w:pos="2056" w:val="right"/>
        </w:tabs>
        <w:widowControl w:val="0"/>
        <w:keepNext w:val="0"/>
        <w:keepLines w:val="0"/>
        <w:shd w:val="clear" w:color="auto" w:fill="auto"/>
        <w:bidi w:val="0"/>
        <w:jc w:val="both"/>
        <w:spacing w:before="0" w:after="365" w:line="170" w:lineRule="exact"/>
        <w:ind w:left="20" w:right="0" w:firstLine="0"/>
      </w:pPr>
      <w:r>
        <w:rPr>
          <w:lang w:val="ru-RU" w:eastAsia="ru-RU" w:bidi="ru-RU"/>
          <w:w w:val="100"/>
          <w:spacing w:val="0"/>
          <w:color w:val="000000"/>
          <w:position w:val="0"/>
        </w:rPr>
        <w:t xml:space="preserve">На №  </w:t>
        <w:tab/>
        <w:t xml:space="preserve"> от</w:t>
      </w:r>
    </w:p>
    <w:p>
      <w:pPr>
        <w:pStyle w:val="Style17"/>
        <w:widowControl w:val="0"/>
        <w:keepNext w:val="0"/>
        <w:keepLines w:val="0"/>
        <w:shd w:val="clear" w:color="auto" w:fill="auto"/>
        <w:bidi w:val="0"/>
        <w:jc w:val="left"/>
        <w:spacing w:before="0" w:after="0" w:line="400" w:lineRule="exact"/>
        <w:ind w:left="20" w:right="0" w:firstLine="0"/>
      </w:pPr>
      <w:r>
        <w:rPr>
          <w:lang w:val="ru-RU" w:eastAsia="ru-RU" w:bidi="ru-RU"/>
          <w:rFonts w:ascii="Courier New" w:eastAsia="Courier New" w:hAnsi="Courier New" w:cs="Courier New"/>
          <w:w w:val="100"/>
          <w:spacing w:val="0"/>
          <w:color w:val="000000"/>
          <w:position w:val="0"/>
        </w:rPr>
        <w:t>Г</w:t>
      </w:r>
    </w:p>
    <w:p>
      <w:pPr>
        <w:pStyle w:val="Style19"/>
        <w:widowControl w:val="0"/>
        <w:keepNext w:val="0"/>
        <w:keepLines w:val="0"/>
        <w:shd w:val="clear" w:color="auto" w:fill="auto"/>
        <w:bidi w:val="0"/>
        <w:jc w:val="left"/>
        <w:spacing w:before="0" w:after="251"/>
        <w:ind w:left="20" w:right="1400" w:firstLine="0"/>
      </w:pPr>
      <w:r>
        <w:rPr>
          <w:lang w:val="ru-RU" w:eastAsia="ru-RU" w:bidi="ru-RU"/>
          <w:sz w:val="24"/>
          <w:szCs w:val="24"/>
          <w:w w:val="100"/>
          <w:spacing w:val="0"/>
          <w:color w:val="000000"/>
          <w:position w:val="0"/>
        </w:rPr>
        <w:t xml:space="preserve">Общество с ограниченной </w:t>
      </w:r>
      <w:r>
        <w:rPr>
          <w:rStyle w:val="CharStyle21"/>
        </w:rPr>
        <w:t xml:space="preserve">ответственностью </w:t>
      </w:r>
      <w:r>
        <w:rPr>
          <w:lang w:val="ru-RU" w:eastAsia="ru-RU" w:bidi="ru-RU"/>
          <w:sz w:val="24"/>
          <w:szCs w:val="24"/>
          <w:w w:val="100"/>
          <w:spacing w:val="0"/>
          <w:color w:val="000000"/>
          <w:position w:val="0"/>
        </w:rPr>
        <w:t xml:space="preserve">«ЭЛИТСПЕЦСТРОЙ» </w:t>
      </w:r>
      <w:r>
        <w:rPr>
          <w:rStyle w:val="CharStyle22"/>
        </w:rPr>
        <w:t xml:space="preserve">specter </w:t>
      </w:r>
      <w:r>
        <w:fldChar w:fldCharType="begin"/>
      </w:r>
      <w:r>
        <w:rPr>
          <w:rStyle w:val="CharStyle22"/>
        </w:rPr>
        <w:instrText> HYPERLINK "mailto:1993@bk.ru" </w:instrText>
      </w:r>
      <w:r>
        <w:fldChar w:fldCharType="separate"/>
      </w:r>
      <w:r>
        <w:rPr>
          <w:rStyle w:val="Hyperlink"/>
          <w:lang w:val="ru-RU" w:eastAsia="ru-RU" w:bidi="ru-RU"/>
        </w:rPr>
        <w:t>1</w:t>
      </w:r>
      <w:r>
        <w:rPr>
          <w:rStyle w:val="Hyperlink"/>
        </w:rPr>
        <w:t>993@bk.ru</w:t>
      </w:r>
      <w:r>
        <w:fldChar w:fldCharType="end"/>
      </w:r>
    </w:p>
    <w:p>
      <w:pPr>
        <w:pStyle w:val="Style19"/>
        <w:widowControl w:val="0"/>
        <w:keepNext w:val="0"/>
        <w:keepLines w:val="0"/>
        <w:shd w:val="clear" w:color="auto" w:fill="auto"/>
        <w:bidi w:val="0"/>
        <w:jc w:val="left"/>
        <w:spacing w:before="0" w:after="244" w:line="307" w:lineRule="exact"/>
        <w:ind w:left="20" w:right="0" w:firstLine="0"/>
      </w:pPr>
      <w:r>
        <w:rPr>
          <w:lang w:val="ru-RU" w:eastAsia="ru-RU" w:bidi="ru-RU"/>
          <w:sz w:val="24"/>
          <w:szCs w:val="24"/>
          <w:w w:val="100"/>
          <w:spacing w:val="0"/>
          <w:color w:val="000000"/>
          <w:position w:val="0"/>
        </w:rPr>
        <w:t xml:space="preserve">Федеральное государственное бюджетное учреждение «Управление мелиорации земель и сельскохозяйственного водоснабжения по Республике Ингушетия» </w:t>
      </w:r>
      <w:r>
        <w:fldChar w:fldCharType="begin"/>
      </w:r>
      <w:r>
        <w:rPr>
          <w:color w:val="000000"/>
        </w:rPr>
        <w:instrText> HYPERLINK "mailto:fgbu.amoos@yandex.ru" </w:instrText>
      </w:r>
      <w:r>
        <w:fldChar w:fldCharType="separate"/>
      </w:r>
      <w:r>
        <w:rPr>
          <w:rStyle w:val="Hyperlink"/>
          <w:lang w:val="en-US" w:eastAsia="en-US" w:bidi="en-US"/>
          <w:sz w:val="24"/>
          <w:szCs w:val="24"/>
          <w:w w:val="100"/>
          <w:spacing w:val="0"/>
          <w:position w:val="0"/>
        </w:rPr>
        <w:t>fgbu.amoos@yandex.ru</w:t>
      </w:r>
      <w:r>
        <w:fldChar w:fldCharType="end"/>
      </w:r>
    </w:p>
    <w:p>
      <w:pPr>
        <w:pStyle w:val="Style19"/>
        <w:widowControl w:val="0"/>
        <w:keepNext w:val="0"/>
        <w:keepLines w:val="0"/>
        <w:shd w:val="clear" w:color="auto" w:fill="auto"/>
        <w:bidi w:val="0"/>
        <w:jc w:val="left"/>
        <w:spacing w:before="0" w:after="0" w:line="302" w:lineRule="exact"/>
        <w:ind w:left="20" w:right="1400" w:firstLine="0"/>
        <w:sectPr>
          <w:type w:val="continuous"/>
          <w:pgSz w:w="11909" w:h="16838"/>
          <w:pgMar w:top="675" w:left="1197" w:right="1382" w:bottom="1009" w:header="0" w:footer="3" w:gutter="0"/>
          <w:rtlGutter w:val="0"/>
          <w:cols w:num="2" w:space="720" w:equalWidth="0">
            <w:col w:w="3602" w:space="1359"/>
            <w:col w:w="4370"/>
          </w:cols>
          <w:noEndnote/>
          <w:docGrid w:linePitch="360"/>
        </w:sectPr>
      </w:pPr>
      <w:r>
        <w:rPr>
          <w:lang w:val="ru-RU" w:eastAsia="ru-RU" w:bidi="ru-RU"/>
          <w:sz w:val="24"/>
          <w:szCs w:val="24"/>
          <w:w w:val="100"/>
          <w:spacing w:val="0"/>
          <w:color w:val="000000"/>
          <w:position w:val="0"/>
        </w:rPr>
        <w:t xml:space="preserve">Общество с ограниченной ответственностью "ЭЛИТСПЕЦСТРОЙ" </w:t>
      </w:r>
      <w:r>
        <w:fldChar w:fldCharType="begin"/>
      </w:r>
      <w:r>
        <w:rPr>
          <w:color w:val="000000"/>
        </w:rPr>
        <w:instrText> HYPERLINK "mailto:s.aslan@inbox.ru" </w:instrText>
      </w:r>
      <w:r>
        <w:fldChar w:fldCharType="separate"/>
      </w:r>
      <w:r>
        <w:rPr>
          <w:rStyle w:val="Hyperlink"/>
          <w:lang w:val="en-US" w:eastAsia="en-US" w:bidi="en-US"/>
          <w:sz w:val="24"/>
          <w:szCs w:val="24"/>
          <w:w w:val="100"/>
          <w:spacing w:val="0"/>
          <w:position w:val="0"/>
        </w:rPr>
        <w:t>s.aslan@inbox.ru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5" w:after="6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spacing w:before="0" w:after="88" w:line="230" w:lineRule="exact"/>
        <w:ind w:left="0" w:right="700" w:firstLine="0"/>
      </w:pPr>
      <w:r>
        <w:rPr>
          <w:lang w:val="ru-RU" w:eastAsia="ru-RU" w:bidi="ru-RU"/>
          <w:w w:val="100"/>
          <w:spacing w:val="0"/>
          <w:color w:val="000000"/>
          <w:position w:val="0"/>
        </w:rPr>
        <w:t>РЕШЕНИЕ</w:t>
      </w:r>
    </w:p>
    <w:p>
      <w:pPr>
        <w:pStyle w:val="Style23"/>
        <w:widowControl w:val="0"/>
        <w:keepNext w:val="0"/>
        <w:keepLines w:val="0"/>
        <w:shd w:val="clear" w:color="auto" w:fill="auto"/>
        <w:bidi w:val="0"/>
        <w:spacing w:before="0" w:after="180" w:line="284" w:lineRule="exact"/>
        <w:ind w:left="0" w:right="700" w:firstLine="0"/>
      </w:pPr>
      <w:r>
        <w:rPr>
          <w:lang w:val="ru-RU" w:eastAsia="ru-RU" w:bidi="ru-RU"/>
          <w:w w:val="100"/>
          <w:spacing w:val="0"/>
          <w:color w:val="000000"/>
          <w:position w:val="0"/>
        </w:rPr>
        <w:t>по делу №006/06/48-406/2022 о нарушении законодательства о контрактной системе</w:t>
      </w:r>
    </w:p>
    <w:p>
      <w:pPr>
        <w:pStyle w:val="Style23"/>
        <w:widowControl w:val="0"/>
        <w:keepNext w:val="0"/>
        <w:keepLines w:val="0"/>
        <w:shd w:val="clear" w:color="auto" w:fill="auto"/>
        <w:bidi w:val="0"/>
        <w:jc w:val="right"/>
        <w:spacing w:before="0" w:after="0" w:line="284" w:lineRule="exact"/>
        <w:ind w:left="0" w:right="20" w:firstLine="0"/>
      </w:pPr>
      <w:r>
        <w:rPr>
          <w:lang w:val="ru-RU" w:eastAsia="ru-RU" w:bidi="ru-RU"/>
          <w:w w:val="100"/>
          <w:spacing w:val="0"/>
          <w:color w:val="000000"/>
          <w:position w:val="0"/>
        </w:rPr>
        <w:t>г. Назрань</w:t>
      </w:r>
    </w:p>
    <w:p>
      <w:pPr>
        <w:pStyle w:val="Style23"/>
        <w:widowControl w:val="0"/>
        <w:keepNext w:val="0"/>
        <w:keepLines w:val="0"/>
        <w:shd w:val="clear" w:color="auto" w:fill="auto"/>
        <w:bidi w:val="0"/>
        <w:jc w:val="both"/>
        <w:spacing w:before="0" w:after="0" w:line="284" w:lineRule="exact"/>
        <w:ind w:left="20" w:right="0" w:firstLine="680"/>
      </w:pPr>
      <w:r>
        <w:rPr>
          <w:lang w:val="ru-RU" w:eastAsia="ru-RU" w:bidi="ru-RU"/>
          <w:w w:val="100"/>
          <w:spacing w:val="0"/>
          <w:color w:val="000000"/>
          <w:position w:val="0"/>
        </w:rPr>
        <w:t>Резолютивная часть решения объявлена 05 августа 2022 года</w:t>
      </w:r>
    </w:p>
    <w:p>
      <w:pPr>
        <w:pStyle w:val="Style23"/>
        <w:widowControl w:val="0"/>
        <w:keepNext w:val="0"/>
        <w:keepLines w:val="0"/>
        <w:shd w:val="clear" w:color="auto" w:fill="auto"/>
        <w:bidi w:val="0"/>
        <w:jc w:val="both"/>
        <w:spacing w:before="0" w:after="184" w:line="284" w:lineRule="exact"/>
        <w:ind w:left="20" w:right="0" w:firstLine="680"/>
      </w:pPr>
      <w:r>
        <w:rPr>
          <w:lang w:val="ru-RU" w:eastAsia="ru-RU" w:bidi="ru-RU"/>
          <w:w w:val="100"/>
          <w:spacing w:val="0"/>
          <w:color w:val="000000"/>
          <w:position w:val="0"/>
        </w:rPr>
        <w:t>В полном объеме решение изготовлено 10 августа 2022 года</w:t>
      </w:r>
    </w:p>
    <w:p>
      <w:pPr>
        <w:pStyle w:val="Style23"/>
        <w:widowControl w:val="0"/>
        <w:keepNext w:val="0"/>
        <w:keepLines w:val="0"/>
        <w:shd w:val="clear" w:color="auto" w:fill="auto"/>
        <w:bidi w:val="0"/>
        <w:jc w:val="both"/>
        <w:spacing w:before="0" w:after="0" w:line="280" w:lineRule="exact"/>
        <w:ind w:left="20" w:right="20" w:firstLine="680"/>
      </w:pPr>
      <w:r>
        <w:rPr>
          <w:lang w:val="ru-RU" w:eastAsia="ru-RU" w:bidi="ru-RU"/>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23"/>
        <w:widowControl w:val="0"/>
        <w:keepNext w:val="0"/>
        <w:keepLines w:val="0"/>
        <w:shd w:val="clear" w:color="auto" w:fill="auto"/>
        <w:bidi w:val="0"/>
        <w:jc w:val="both"/>
        <w:spacing w:before="0" w:after="0" w:line="280" w:lineRule="exact"/>
        <w:ind w:left="20" w:right="20" w:firstLine="680"/>
      </w:pPr>
      <w:r>
        <w:rPr>
          <w:lang w:val="ru-RU" w:eastAsia="ru-RU" w:bidi="ru-RU"/>
          <w:w w:val="100"/>
          <w:spacing w:val="0"/>
          <w:color w:val="000000"/>
          <w:position w:val="0"/>
        </w:rPr>
        <w:t>Председатель комиссии: М.М. Халмурзиев - начальник отдела контроля торгов Управления;</w:t>
      </w:r>
    </w:p>
    <w:p>
      <w:pPr>
        <w:pStyle w:val="Style23"/>
        <w:widowControl w:val="0"/>
        <w:keepNext w:val="0"/>
        <w:keepLines w:val="0"/>
        <w:shd w:val="clear" w:color="auto" w:fill="auto"/>
        <w:bidi w:val="0"/>
        <w:jc w:val="both"/>
        <w:spacing w:before="0" w:after="0" w:line="280" w:lineRule="exact"/>
        <w:ind w:left="20" w:right="20" w:firstLine="680"/>
      </w:pPr>
      <w:r>
        <w:rPr>
          <w:lang w:val="ru-RU" w:eastAsia="ru-RU" w:bidi="ru-RU"/>
          <w:w w:val="100"/>
          <w:spacing w:val="0"/>
          <w:color w:val="000000"/>
          <w:position w:val="0"/>
        </w:rPr>
        <w:t>Члены комиссии: А.А. Аушев - заместитель начальник отдела контроля торгов Управления, К.Х. Бекбузаров — главный специалист-эксперт отдела контроля торгов Управления;</w:t>
      </w:r>
    </w:p>
    <w:p>
      <w:pPr>
        <w:pStyle w:val="Style23"/>
        <w:widowControl w:val="0"/>
        <w:keepNext w:val="0"/>
        <w:keepLines w:val="0"/>
        <w:shd w:val="clear" w:color="auto" w:fill="auto"/>
        <w:bidi w:val="0"/>
        <w:jc w:val="both"/>
        <w:spacing w:before="0" w:after="0" w:line="280" w:lineRule="exact"/>
        <w:ind w:left="20" w:right="0" w:firstLine="680"/>
      </w:pPr>
      <w:r>
        <w:rPr>
          <w:lang w:val="ru-RU" w:eastAsia="ru-RU" w:bidi="ru-RU"/>
          <w:w w:val="100"/>
          <w:spacing w:val="0"/>
          <w:color w:val="000000"/>
          <w:position w:val="0"/>
        </w:rPr>
        <w:t>в отсутствии представителей:</w:t>
      </w:r>
    </w:p>
    <w:p>
      <w:pPr>
        <w:pStyle w:val="Style23"/>
        <w:widowControl w:val="0"/>
        <w:keepNext w:val="0"/>
        <w:keepLines w:val="0"/>
        <w:shd w:val="clear" w:color="auto" w:fill="auto"/>
        <w:bidi w:val="0"/>
        <w:jc w:val="both"/>
        <w:spacing w:before="0" w:after="0" w:line="280" w:lineRule="exact"/>
        <w:ind w:left="20" w:right="20" w:firstLine="680"/>
      </w:pPr>
      <w:r>
        <w:rPr>
          <w:lang w:val="ru-RU" w:eastAsia="ru-RU" w:bidi="ru-RU"/>
          <w:w w:val="100"/>
          <w:spacing w:val="0"/>
          <w:color w:val="000000"/>
          <w:position w:val="0"/>
        </w:rPr>
        <w:t>Федерального государственного бюджетного учреждения «Управление мелиорации земель и сельскохозяйственного водоснабжения по Республике Ингушетия» (далее - Заказчик);</w:t>
      </w:r>
    </w:p>
    <w:p>
      <w:pPr>
        <w:pStyle w:val="Style23"/>
        <w:widowControl w:val="0"/>
        <w:keepNext w:val="0"/>
        <w:keepLines w:val="0"/>
        <w:shd w:val="clear" w:color="auto" w:fill="auto"/>
        <w:bidi w:val="0"/>
        <w:jc w:val="left"/>
        <w:spacing w:before="0" w:after="124" w:line="280" w:lineRule="exact"/>
        <w:ind w:left="20" w:right="20" w:firstLine="860"/>
      </w:pPr>
      <w:r>
        <w:rPr>
          <w:lang w:val="ru-RU" w:eastAsia="ru-RU" w:bidi="ru-RU"/>
          <w:w w:val="100"/>
          <w:spacing w:val="0"/>
          <w:color w:val="000000"/>
          <w:position w:val="0"/>
        </w:rPr>
        <w:t>общества с ограниченной ответственностью «ЭЛИТСПЕЦСТРОЙ» (далее - Заявитель),</w:t>
      </w:r>
    </w:p>
    <w:p>
      <w:pPr>
        <w:framePr w:h="460" w:wrap="notBeside" w:vAnchor="text" w:hAnchor="text" w:y="1"/>
        <w:widowControl w:val="0"/>
        <w:jc w:val="left"/>
        <w:rPr>
          <w:sz w:val="2"/>
          <w:szCs w:val="2"/>
        </w:rPr>
      </w:pPr>
      <w:r>
        <w:pict>
          <v:shape id="_x0000_s1032" type="#_x0000_t75" style="width:114pt;height:23pt;">
            <v:imagedata r:id="rId12" r:href="rId13"/>
          </v:shape>
        </w:pict>
      </w:r>
    </w:p>
    <w:p>
      <w:pPr>
        <w:widowControl w:val="0"/>
        <w:rPr>
          <w:sz w:val="2"/>
          <w:szCs w:val="2"/>
        </w:rPr>
      </w:pPr>
    </w:p>
    <w:p>
      <w:pPr>
        <w:widowControl w:val="0"/>
        <w:rPr>
          <w:sz w:val="2"/>
          <w:szCs w:val="2"/>
        </w:rPr>
        <w:sectPr>
          <w:type w:val="continuous"/>
          <w:pgSz w:w="11909" w:h="16838"/>
          <w:pgMar w:top="660" w:left="1143" w:right="1161" w:bottom="994" w:header="0" w:footer="3" w:gutter="0"/>
          <w:rtlGutter w:val="0"/>
          <w:cols w:space="720"/>
          <w:noEndnote/>
          <w:docGrid w:linePitch="360"/>
        </w:sectPr>
      </w:pPr>
    </w:p>
    <w:p>
      <w:pPr>
        <w:pStyle w:val="Style23"/>
        <w:widowControl w:val="0"/>
        <w:keepNext w:val="0"/>
        <w:keepLines w:val="0"/>
        <w:shd w:val="clear" w:color="auto" w:fill="auto"/>
        <w:bidi w:val="0"/>
        <w:jc w:val="both"/>
        <w:spacing w:before="0" w:after="0" w:line="316" w:lineRule="exact"/>
        <w:ind w:left="20" w:right="20" w:firstLine="660"/>
      </w:pPr>
      <w:r>
        <w:rPr>
          <w:lang w:val="ru-RU" w:eastAsia="ru-RU" w:bidi="ru-RU"/>
          <w:w w:val="100"/>
          <w:spacing w:val="0"/>
          <w:color w:val="000000"/>
          <w:position w:val="0"/>
        </w:rPr>
        <w:t>все стороны уведомлены надлежащим образом, заявлений и ходатайств не поступало.</w:t>
      </w:r>
    </w:p>
    <w:p>
      <w:pPr>
        <w:pStyle w:val="Style23"/>
        <w:widowControl w:val="0"/>
        <w:keepNext w:val="0"/>
        <w:keepLines w:val="0"/>
        <w:shd w:val="clear" w:color="auto" w:fill="auto"/>
        <w:bidi w:val="0"/>
        <w:jc w:val="both"/>
        <w:spacing w:before="0" w:after="244" w:line="284" w:lineRule="exact"/>
        <w:ind w:left="20" w:right="20" w:firstLine="660"/>
      </w:pPr>
      <w:r>
        <w:rPr>
          <w:lang w:val="ru-RU" w:eastAsia="ru-RU" w:bidi="ru-RU"/>
          <w:w w:val="100"/>
          <w:spacing w:val="0"/>
          <w:color w:val="000000"/>
          <w:position w:val="0"/>
        </w:rPr>
        <w:t>Рассмотрев жалобу Заявителя на действие (бездействия) Заказчика при проведении процедуры закупки способом открытого конкурса в электронной форме №0314100004822000003 оформление прав на объекты недвижимого имущества (далее - Закупка), выразившиеся в нарушении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статьями 99 и 106 Закона о контрактной системе,</w:t>
      </w:r>
    </w:p>
    <w:p>
      <w:pPr>
        <w:pStyle w:val="Style23"/>
        <w:widowControl w:val="0"/>
        <w:keepNext w:val="0"/>
        <w:keepLines w:val="0"/>
        <w:shd w:val="clear" w:color="auto" w:fill="auto"/>
        <w:bidi w:val="0"/>
        <w:jc w:val="left"/>
        <w:spacing w:before="0" w:after="0" w:line="280" w:lineRule="exact"/>
        <w:ind w:left="4260" w:right="0" w:firstLine="0"/>
      </w:pPr>
      <w:r>
        <w:rPr>
          <w:lang w:val="ru-RU" w:eastAsia="ru-RU" w:bidi="ru-RU"/>
          <w:w w:val="100"/>
          <w:spacing w:val="0"/>
          <w:color w:val="000000"/>
          <w:position w:val="0"/>
        </w:rPr>
        <w:t>УСТАНОВИЛА:</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 xml:space="preserve">Заказчиком в единой информационной системе в сети Интернет по размещению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Закупки.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жалобе Заявитель указывает на неправомерные действия Заказчика, выразившиеся, по его мнению, в утверждении ненадлежащего порядка оценки заявок, не соответствующего требованиям Постановлением Правительства РФ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№2369 и признании утратившими силу некоторых актов и отдельных положений некоторых актов Правительства Российской Федерации».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ходе рассмотрения 04.08.2022г Комиссией Управления был объявлен перерыв для предоставления дополнительной информации, в связи с чем рассмотрение было отложено на 05.08.2022г.</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результате рассмотрения жалобы и осуществления в соответствии с частью 15 статьи 99 Закона о контрактной системе внеплановой проверки Комиссия установила следующее.</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23"/>
        <w:numPr>
          <w:ilvl w:val="0"/>
          <w:numId w:val="1"/>
        </w:numPr>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 xml:space="preserve"> извещение об осуществлении закупки размещено в ЕИС - 10.07.2022г.;</w:t>
      </w:r>
    </w:p>
    <w:p>
      <w:pPr>
        <w:pStyle w:val="Style23"/>
        <w:numPr>
          <w:ilvl w:val="0"/>
          <w:numId w:val="1"/>
        </w:numPr>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 xml:space="preserve"> способ определения поставщика (подрядчика, исполнителя) - открытый конкурс в электронной форме;</w:t>
      </w:r>
    </w:p>
    <w:p>
      <w:pPr>
        <w:pStyle w:val="Style23"/>
        <w:numPr>
          <w:ilvl w:val="0"/>
          <w:numId w:val="1"/>
        </w:numPr>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 xml:space="preserve"> начальная (максимальная) цена контракта - 2 412 300,00 рублей;</w:t>
      </w:r>
    </w:p>
    <w:p>
      <w:pPr>
        <w:pStyle w:val="Style23"/>
        <w:numPr>
          <w:ilvl w:val="0"/>
          <w:numId w:val="1"/>
        </w:numPr>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 xml:space="preserve"> дата и время окончания подачи заявок - 01.08.2022г, 09:00;</w:t>
      </w:r>
    </w:p>
    <w:p>
      <w:pPr>
        <w:pStyle w:val="Style23"/>
        <w:numPr>
          <w:ilvl w:val="0"/>
          <w:numId w:val="1"/>
        </w:numPr>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 xml:space="preserve"> дата подведения итогов определения поставщика - 10.08.2022г.</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Исследовав имеющиеся материалы, Комиссия Управления пришла к следующим выводам.</w:t>
      </w:r>
    </w:p>
    <w:p>
      <w:pPr>
        <w:pStyle w:val="Style23"/>
        <w:numPr>
          <w:ilvl w:val="0"/>
          <w:numId w:val="3"/>
        </w:numPr>
        <w:tabs>
          <w:tab w:leader="none" w:pos="991" w:val="left"/>
        </w:tabs>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соответствии с частью 1 статьи 48 Закона о контрактной системе, электронный конкурс начинается с размещения в единой информационной системе извещения об осуществлении закупки.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соответствии с пунктом 4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электронные документы, содержащие порядок рассмотрения и оценки заявок на участие в конкурсах в соответствии с Законом о контрактной системе.</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Частью 1 статьи 32 Закона о контрактной системе, для оценки заявок участников закупки заказчик использует следующие критерии:</w:t>
      </w:r>
    </w:p>
    <w:p>
      <w:pPr>
        <w:pStyle w:val="Style23"/>
        <w:numPr>
          <w:ilvl w:val="0"/>
          <w:numId w:val="5"/>
        </w:numPr>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 xml:space="preserve"> цена контракта, сумма цен единиц товара, работы, услуги;</w:t>
      </w:r>
    </w:p>
    <w:p>
      <w:pPr>
        <w:pStyle w:val="Style23"/>
        <w:numPr>
          <w:ilvl w:val="0"/>
          <w:numId w:val="5"/>
        </w:numPr>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23"/>
        <w:numPr>
          <w:ilvl w:val="0"/>
          <w:numId w:val="5"/>
        </w:numPr>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23"/>
        <w:numPr>
          <w:ilvl w:val="0"/>
          <w:numId w:val="5"/>
        </w:numPr>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статьи 32 Закона о контрактной систем.</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Частью 9 статьи 32 Закона о контрактной системе установлено, что не допускается использование заказчиком не предусмотренных настоящей статьей критериев или их величин значимости, установленных частью 6 статьи 32 Закона о контрактной системе и в соответствии с частью 8 статьи 32 Закона о контрактной системе.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Положение об оценке заявок на участие в закупке товаров, работ, услуг для обеспечения государственных и муниципальных нужд (далее - Положение) утверждено Постановлением Правительства РФ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№2604).</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При этом согласно пункту 2 Положения, "оценкой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Пунктом 3 Положения установлено, что для оценки заявок в соответствии с настоящим Положением применяются следующие критерии оценки:</w:t>
      </w:r>
    </w:p>
    <w:p>
      <w:pPr>
        <w:pStyle w:val="Style23"/>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а) цена контракта, сумма цен единиц товара, работы, услуги;</w:t>
      </w:r>
    </w:p>
    <w:p>
      <w:pPr>
        <w:pStyle w:val="Style23"/>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б) расходы;</w:t>
      </w:r>
    </w:p>
    <w:p>
      <w:pPr>
        <w:pStyle w:val="Style23"/>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в) характеристики объекта закупки;</w:t>
      </w:r>
    </w:p>
    <w:p>
      <w:pPr>
        <w:pStyle w:val="Style23"/>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г) квалификация участников закупки (п. 3 Положения).</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Согласно пунктам 24 и 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23"/>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а) наличие у участников закупки финансовых ресурсов;</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23"/>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г) наличие у участников закупки деловой репутации;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Для оценки заявок по показателям оценки, предусмотренным пунктом 24 Положения, применяются детализирующие показатели.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 xml:space="preserve">В силу пункта 27 Положения, в случае применения показателя оценки, указанного в подпункте "б" пункта 24 Положения, документом, предусмотренным приложением </w:t>
      </w:r>
      <w:r>
        <w:rPr>
          <w:lang w:val="en-US" w:eastAsia="en-US" w:bidi="en-US"/>
          <w:w w:val="100"/>
          <w:spacing w:val="0"/>
          <w:color w:val="000000"/>
          <w:position w:val="0"/>
        </w:rPr>
        <w:t xml:space="preserve">N1 </w:t>
      </w:r>
      <w:r>
        <w:rPr>
          <w:lang w:val="ru-RU" w:eastAsia="ru-RU" w:bidi="ru-RU"/>
          <w:w w:val="100"/>
          <w:spacing w:val="0"/>
          <w:color w:val="000000"/>
          <w:position w:val="0"/>
        </w:rPr>
        <w:t>к Положению, устанавливаются:</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а) перечень оборудования и других материальных ресурсов, оцениваемых по показателю, предусмотренному подпунктом "б" пункта 24 настоящего Положения, и необходимых для поставки товара, выполнения работ, оказания услуг, являющихся объектом закупки;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"а" настоящего пункта:</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pPr>
        <w:pStyle w:val="Style23"/>
        <w:widowControl w:val="0"/>
        <w:keepNext w:val="0"/>
        <w:keepLines w:val="0"/>
        <w:shd w:val="clear" w:color="auto" w:fill="auto"/>
        <w:bidi w:val="0"/>
        <w:jc w:val="both"/>
        <w:spacing w:before="0" w:after="0" w:line="280" w:lineRule="exact"/>
        <w:ind w:left="20" w:right="20" w:firstLine="660"/>
        <w:sectPr>
          <w:pgSz w:w="11909" w:h="16838"/>
          <w:pgMar w:top="1513" w:left="812" w:right="812" w:bottom="2172" w:header="0" w:footer="3" w:gutter="317"/>
          <w:rtlGutter/>
          <w:cols w:space="720"/>
          <w:noEndnote/>
          <w:docGrid w:linePitch="360"/>
        </w:sectPr>
      </w:pPr>
      <w:r>
        <w:rPr>
          <w:lang w:val="ru-RU" w:eastAsia="ru-RU" w:bidi="ru-RU"/>
          <w:w w:val="100"/>
          <w:spacing w:val="0"/>
          <w:color w:val="000000"/>
          <w:position w:val="0"/>
        </w:rPr>
        <w:t>иные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 ином законном</w:t>
      </w:r>
    </w:p>
    <w:p>
      <w:pPr>
        <w:pStyle w:val="Style23"/>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основании);</w:t>
      </w:r>
    </w:p>
    <w:p>
      <w:pPr>
        <w:pStyle w:val="Style23"/>
        <w:tabs>
          <w:tab w:leader="none" w:pos="1009" w:val="left"/>
        </w:tabs>
        <w:widowControl w:val="0"/>
        <w:keepNext w:val="0"/>
        <w:keepLines w:val="0"/>
        <w:shd w:val="clear" w:color="auto" w:fill="auto"/>
        <w:bidi w:val="0"/>
        <w:jc w:val="both"/>
        <w:spacing w:before="0" w:after="0" w:line="284" w:lineRule="exact"/>
        <w:ind w:left="20" w:right="20" w:firstLine="660"/>
      </w:pPr>
      <w:r>
        <w:rPr>
          <w:lang w:val="ru-RU" w:eastAsia="ru-RU" w:bidi="ru-RU"/>
          <w:w w:val="100"/>
          <w:spacing w:val="0"/>
          <w:color w:val="000000"/>
          <w:position w:val="0"/>
        </w:rPr>
        <w:t>в)</w:t>
        <w:tab/>
        <w:t>к оценке принимаются документы, предусмотренные подпунктом "б"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23"/>
        <w:widowControl w:val="0"/>
        <w:keepNext w:val="0"/>
        <w:keepLines w:val="0"/>
        <w:shd w:val="clear" w:color="auto" w:fill="auto"/>
        <w:bidi w:val="0"/>
        <w:jc w:val="both"/>
        <w:spacing w:before="0" w:after="0" w:line="284" w:lineRule="exact"/>
        <w:ind w:left="20" w:right="20" w:firstLine="660"/>
      </w:pPr>
      <w:r>
        <w:rPr>
          <w:lang w:val="ru-RU" w:eastAsia="ru-RU" w:bidi="ru-RU"/>
          <w:w w:val="100"/>
          <w:spacing w:val="0"/>
          <w:color w:val="000000"/>
          <w:position w:val="0"/>
        </w:rPr>
        <w:t>В соответствии с пунктом 28 Положения в случае применения показателя оценки, предусмотренного подпунктом «в» пункта 24 настоящего Положения:</w:t>
      </w:r>
    </w:p>
    <w:p>
      <w:pPr>
        <w:pStyle w:val="Style23"/>
        <w:widowControl w:val="0"/>
        <w:keepNext w:val="0"/>
        <w:keepLines w:val="0"/>
        <w:shd w:val="clear" w:color="auto" w:fill="auto"/>
        <w:bidi w:val="0"/>
        <w:jc w:val="both"/>
        <w:spacing w:before="0" w:after="0" w:line="266" w:lineRule="exact"/>
        <w:ind w:left="20" w:right="20" w:firstLine="660"/>
      </w:pPr>
      <w:r>
        <w:rPr>
          <w:lang w:val="ru-RU" w:eastAsia="ru-RU" w:bidi="ru-RU"/>
          <w:w w:val="100"/>
          <w:spacing w:val="0"/>
          <w:color w:val="000000"/>
          <w:position w:val="0"/>
        </w:rPr>
        <w:t>а) применяются один или несколько из следующих детализирующих показателей оценки:</w:t>
      </w:r>
    </w:p>
    <w:p>
      <w:pPr>
        <w:pStyle w:val="Style23"/>
        <w:numPr>
          <w:ilvl w:val="0"/>
          <w:numId w:val="7"/>
        </w:numPr>
        <w:widowControl w:val="0"/>
        <w:keepNext w:val="0"/>
        <w:keepLines w:val="0"/>
        <w:shd w:val="clear" w:color="auto" w:fill="auto"/>
        <w:bidi w:val="0"/>
        <w:jc w:val="both"/>
        <w:spacing w:before="0" w:after="0" w:line="275" w:lineRule="exact"/>
        <w:ind w:left="20" w:right="0" w:firstLine="660"/>
      </w:pPr>
      <w:r>
        <w:rPr>
          <w:lang w:val="ru-RU" w:eastAsia="ru-RU" w:bidi="ru-RU"/>
          <w:w w:val="100"/>
          <w:spacing w:val="0"/>
          <w:color w:val="000000"/>
          <w:position w:val="0"/>
        </w:rPr>
        <w:t xml:space="preserve"> общая цена исполненных участником закупки договоров;</w:t>
      </w:r>
    </w:p>
    <w:p>
      <w:pPr>
        <w:pStyle w:val="Style23"/>
        <w:numPr>
          <w:ilvl w:val="0"/>
          <w:numId w:val="7"/>
        </w:numPr>
        <w:widowControl w:val="0"/>
        <w:keepNext w:val="0"/>
        <w:keepLines w:val="0"/>
        <w:shd w:val="clear" w:color="auto" w:fill="auto"/>
        <w:bidi w:val="0"/>
        <w:jc w:val="both"/>
        <w:spacing w:before="0" w:after="0" w:line="275" w:lineRule="exact"/>
        <w:ind w:left="20" w:right="0" w:firstLine="660"/>
      </w:pPr>
      <w:r>
        <w:rPr>
          <w:lang w:val="ru-RU" w:eastAsia="ru-RU" w:bidi="ru-RU"/>
          <w:w w:val="100"/>
          <w:spacing w:val="0"/>
          <w:color w:val="000000"/>
          <w:position w:val="0"/>
        </w:rPr>
        <w:t xml:space="preserve"> общее количество исполненных участником закупки договоров;</w:t>
      </w:r>
    </w:p>
    <w:p>
      <w:pPr>
        <w:pStyle w:val="Style23"/>
        <w:numPr>
          <w:ilvl w:val="0"/>
          <w:numId w:val="7"/>
        </w:numPr>
        <w:widowControl w:val="0"/>
        <w:keepNext w:val="0"/>
        <w:keepLines w:val="0"/>
        <w:shd w:val="clear" w:color="auto" w:fill="auto"/>
        <w:bidi w:val="0"/>
        <w:jc w:val="both"/>
        <w:spacing w:before="0" w:after="0" w:line="275" w:lineRule="exact"/>
        <w:ind w:left="20" w:right="0" w:firstLine="660"/>
      </w:pPr>
      <w:r>
        <w:rPr>
          <w:lang w:val="ru-RU" w:eastAsia="ru-RU" w:bidi="ru-RU"/>
          <w:w w:val="100"/>
          <w:spacing w:val="0"/>
          <w:color w:val="000000"/>
          <w:position w:val="0"/>
        </w:rPr>
        <w:t xml:space="preserve"> наибольшая цена одного из исполненных участником закупки договоров;</w:t>
      </w:r>
    </w:p>
    <w:p>
      <w:pPr>
        <w:pStyle w:val="Style23"/>
        <w:widowControl w:val="0"/>
        <w:keepNext w:val="0"/>
        <w:keepLines w:val="0"/>
        <w:shd w:val="clear" w:color="auto" w:fill="auto"/>
        <w:bidi w:val="0"/>
        <w:jc w:val="both"/>
        <w:spacing w:before="0" w:after="0" w:line="275" w:lineRule="exact"/>
        <w:ind w:left="20" w:right="20" w:firstLine="660"/>
      </w:pPr>
      <w:r>
        <w:rPr>
          <w:lang w:val="ru-RU" w:eastAsia="ru-RU" w:bidi="ru-RU"/>
          <w:w w:val="100"/>
          <w:spacing w:val="0"/>
          <w:color w:val="000000"/>
          <w:position w:val="0"/>
        </w:rPr>
        <w:t>б) оценка заявок по детализирующим показателям, предусмотренным подпунктом "а" настоящего пункта, осуществляется в порядке, установленном п. 20 настоящего Положения;</w:t>
      </w:r>
    </w:p>
    <w:p>
      <w:pPr>
        <w:pStyle w:val="Style23"/>
        <w:widowControl w:val="0"/>
        <w:keepNext w:val="0"/>
        <w:keepLines w:val="0"/>
        <w:shd w:val="clear" w:color="auto" w:fill="auto"/>
        <w:bidi w:val="0"/>
        <w:jc w:val="both"/>
        <w:spacing w:before="0" w:after="0" w:line="280" w:lineRule="exact"/>
        <w:ind w:left="20" w:right="0" w:firstLine="660"/>
      </w:pPr>
      <w:r>
        <w:rPr>
          <w:lang w:val="ru-RU" w:eastAsia="ru-RU" w:bidi="ru-RU"/>
          <w:w w:val="100"/>
          <w:spacing w:val="0"/>
          <w:color w:val="000000"/>
          <w:position w:val="0"/>
        </w:rPr>
        <w:t>в) документом, предусмотренным приложением №1 к настоящему Положению:</w:t>
      </w:r>
    </w:p>
    <w:p>
      <w:pPr>
        <w:pStyle w:val="Style23"/>
        <w:numPr>
          <w:ilvl w:val="0"/>
          <w:numId w:val="7"/>
        </w:numPr>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 xml:space="preserve">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23"/>
        <w:numPr>
          <w:ilvl w:val="0"/>
          <w:numId w:val="7"/>
        </w:numPr>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 xml:space="preserve">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23"/>
        <w:numPr>
          <w:ilvl w:val="0"/>
          <w:numId w:val="7"/>
        </w:numPr>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 xml:space="preserve">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23"/>
        <w:widowControl w:val="0"/>
        <w:keepNext w:val="0"/>
        <w:keepLines w:val="0"/>
        <w:shd w:val="clear" w:color="auto" w:fill="auto"/>
        <w:bidi w:val="0"/>
        <w:jc w:val="both"/>
        <w:spacing w:before="0" w:after="0" w:line="280" w:lineRule="exact"/>
        <w:ind w:left="20" w:right="20" w:firstLine="660"/>
      </w:pPr>
      <w:r>
        <w:rPr>
          <w:lang w:val="ru-RU" w:eastAsia="ru-RU" w:bidi="ru-RU"/>
          <w:w w:val="100"/>
          <w:spacing w:val="0"/>
          <w:color w:val="000000"/>
          <w:position w:val="0"/>
        </w:rPr>
        <w:t>В соответствии с пунктом 30 Положения, в случае применения показателя оценки, указанного в подпункте "д" пункта 24 настоящего Положения, документом,</w:t>
      </w:r>
    </w:p>
    <w:p>
      <w:pPr>
        <w:pStyle w:val="Style23"/>
        <w:widowControl w:val="0"/>
        <w:keepNext w:val="0"/>
        <w:keepLines w:val="0"/>
        <w:shd w:val="clear" w:color="auto" w:fill="auto"/>
        <w:bidi w:val="0"/>
        <w:jc w:val="both"/>
        <w:spacing w:before="0" w:after="0" w:line="289" w:lineRule="exact"/>
        <w:ind w:left="140" w:right="0" w:firstLine="0"/>
      </w:pPr>
      <w:r>
        <w:rPr>
          <w:lang w:val="ru-RU" w:eastAsia="ru-RU" w:bidi="ru-RU"/>
          <w:w w:val="100"/>
          <w:spacing w:val="0"/>
          <w:color w:val="000000"/>
          <w:position w:val="0"/>
        </w:rPr>
        <w:t xml:space="preserve">предусмотренным приложением </w:t>
      </w:r>
      <w:r>
        <w:rPr>
          <w:lang w:val="en-US" w:eastAsia="en-US" w:bidi="en-US"/>
          <w:w w:val="100"/>
          <w:spacing w:val="0"/>
          <w:color w:val="000000"/>
          <w:position w:val="0"/>
        </w:rPr>
        <w:t>N</w:t>
      </w:r>
      <w:r>
        <w:rPr>
          <w:lang w:val="ru-RU" w:eastAsia="ru-RU" w:bidi="ru-RU"/>
          <w:w w:val="100"/>
          <w:spacing w:val="0"/>
          <w:color w:val="000000"/>
          <w:position w:val="0"/>
        </w:rPr>
        <w:t>1 к настоящему Положению, устанавливаются:</w:t>
      </w:r>
    </w:p>
    <w:p>
      <w:pPr>
        <w:pStyle w:val="Style23"/>
        <w:widowControl w:val="0"/>
        <w:keepNext w:val="0"/>
        <w:keepLines w:val="0"/>
        <w:shd w:val="clear" w:color="auto" w:fill="auto"/>
        <w:bidi w:val="0"/>
        <w:jc w:val="both"/>
        <w:spacing w:before="0" w:after="0" w:line="289" w:lineRule="exact"/>
        <w:ind w:left="140" w:right="240" w:firstLine="660"/>
      </w:pPr>
      <w:r>
        <w:rPr>
          <w:lang w:val="ru-RU" w:eastAsia="ru-RU" w:bidi="ru-RU"/>
          <w:w w:val="100"/>
          <w:spacing w:val="0"/>
          <w:color w:val="000000"/>
          <w:position w:val="0"/>
        </w:rPr>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pPr>
        <w:pStyle w:val="Style23"/>
        <w:widowControl w:val="0"/>
        <w:keepNext w:val="0"/>
        <w:keepLines w:val="0"/>
        <w:shd w:val="clear" w:color="auto" w:fill="auto"/>
        <w:bidi w:val="0"/>
        <w:jc w:val="both"/>
        <w:spacing w:before="0" w:after="0" w:line="284" w:lineRule="exact"/>
        <w:ind w:left="140" w:right="240" w:firstLine="660"/>
      </w:pPr>
      <w:r>
        <w:rPr>
          <w:lang w:val="ru-RU" w:eastAsia="ru-RU" w:bidi="ru-RU"/>
          <w:w w:val="100"/>
          <w:spacing w:val="0"/>
          <w:color w:val="000000"/>
          <w:position w:val="0"/>
        </w:rPr>
        <w:t>б) перечень следующих документов, подтверждающих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pPr>
        <w:pStyle w:val="Style23"/>
        <w:widowControl w:val="0"/>
        <w:keepNext w:val="0"/>
        <w:keepLines w:val="0"/>
        <w:shd w:val="clear" w:color="auto" w:fill="auto"/>
        <w:bidi w:val="0"/>
        <w:jc w:val="both"/>
        <w:spacing w:before="0" w:after="0" w:line="284" w:lineRule="exact"/>
        <w:ind w:left="140" w:right="0" w:firstLine="660"/>
      </w:pPr>
      <w:r>
        <w:rPr>
          <w:lang w:val="ru-RU" w:eastAsia="ru-RU" w:bidi="ru-RU"/>
          <w:w w:val="100"/>
          <w:spacing w:val="0"/>
          <w:color w:val="000000"/>
          <w:position w:val="0"/>
        </w:rPr>
        <w:t>трудовая книжка или сведения о трудовой деятельности, предусмотренные статьей</w:t>
      </w:r>
    </w:p>
    <w:p>
      <w:pPr>
        <w:pStyle w:val="Style23"/>
        <w:numPr>
          <w:ilvl w:val="0"/>
          <w:numId w:val="9"/>
        </w:numPr>
        <w:tabs>
          <w:tab w:leader="none" w:pos="686" w:val="left"/>
        </w:tabs>
        <w:widowControl w:val="0"/>
        <w:keepNext w:val="0"/>
        <w:keepLines w:val="0"/>
        <w:shd w:val="clear" w:color="auto" w:fill="auto"/>
        <w:bidi w:val="0"/>
        <w:jc w:val="both"/>
        <w:spacing w:before="0" w:after="0" w:line="284" w:lineRule="exact"/>
        <w:ind w:left="140" w:right="0" w:firstLine="0"/>
      </w:pPr>
      <w:r>
        <w:rPr>
          <w:lang w:val="ru-RU" w:eastAsia="ru-RU" w:bidi="ru-RU"/>
          <w:w w:val="100"/>
          <w:spacing w:val="0"/>
          <w:color w:val="000000"/>
          <w:position w:val="0"/>
        </w:rPr>
        <w:t>Трудового кодекса Российской Федерации;</w:t>
      </w:r>
    </w:p>
    <w:p>
      <w:pPr>
        <w:pStyle w:val="Style23"/>
        <w:widowControl w:val="0"/>
        <w:keepNext w:val="0"/>
        <w:keepLines w:val="0"/>
        <w:shd w:val="clear" w:color="auto" w:fill="auto"/>
        <w:bidi w:val="0"/>
        <w:jc w:val="both"/>
        <w:spacing w:before="0" w:after="0" w:line="284" w:lineRule="exact"/>
        <w:ind w:left="140" w:right="240" w:firstLine="660"/>
      </w:pPr>
      <w:r>
        <w:rPr>
          <w:lang w:val="ru-RU" w:eastAsia="ru-RU" w:bidi="ru-RU"/>
          <w:w w:val="100"/>
          <w:spacing w:val="0"/>
          <w:color w:val="000000"/>
          <w:position w:val="0"/>
        </w:rPr>
        <w:t>документы, подтверждающие предусмотренную в соответствии с профессиональными стандартами квалификацию специалистов и иных работников.</w:t>
      </w:r>
    </w:p>
    <w:p>
      <w:pPr>
        <w:pStyle w:val="Style23"/>
        <w:widowControl w:val="0"/>
        <w:keepNext w:val="0"/>
        <w:keepLines w:val="0"/>
        <w:shd w:val="clear" w:color="auto" w:fill="auto"/>
        <w:bidi w:val="0"/>
        <w:jc w:val="both"/>
        <w:spacing w:before="0" w:after="243" w:line="284" w:lineRule="exact"/>
        <w:ind w:left="140" w:right="240" w:firstLine="660"/>
      </w:pPr>
      <w:r>
        <w:rPr>
          <w:lang w:val="ru-RU" w:eastAsia="ru-RU" w:bidi="ru-RU"/>
          <w:w w:val="100"/>
          <w:spacing w:val="0"/>
          <w:color w:val="000000"/>
          <w:position w:val="0"/>
        </w:rPr>
        <w:t>В соответствии с извещением о проведении закупки Заказчиком для оценки заявок участников закупки установлены следующие критерии:</w:t>
      </w:r>
    </w:p>
    <w:tbl>
      <w:tblPr>
        <w:tblOverlap w:val="never"/>
        <w:tblLayout w:type="fixed"/>
        <w:jc w:val="center"/>
      </w:tblPr>
      <w:tblGrid>
        <w:gridCol w:w="528"/>
        <w:gridCol w:w="3521"/>
        <w:gridCol w:w="5837"/>
      </w:tblGrid>
      <w:tr>
        <w:trPr>
          <w:trHeight w:val="2049" w:hRule="exact"/>
        </w:trPr>
        <w:tc>
          <w:tcPr>
            <w:shd w:val="clear" w:color="auto" w:fill="FFFFFF"/>
            <w:tcBorders>
              <w:left w:val="single" w:sz="4"/>
              <w:top w:val="single" w:sz="4"/>
            </w:tcBorders>
            <w:vAlign w:val="top"/>
          </w:tcPr>
          <w:p>
            <w:pPr>
              <w:framePr w:w="988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3"/>
              <w:framePr w:w="9886" w:wrap="notBeside" w:vAnchor="text" w:hAnchor="text" w:xAlign="center" w:y="1"/>
              <w:widowControl w:val="0"/>
              <w:keepNext w:val="0"/>
              <w:keepLines w:val="0"/>
              <w:shd w:val="clear" w:color="auto" w:fill="auto"/>
              <w:bidi w:val="0"/>
              <w:jc w:val="both"/>
              <w:spacing w:before="0" w:after="0" w:line="257" w:lineRule="exact"/>
              <w:ind w:left="0" w:right="0" w:firstLine="0"/>
            </w:pPr>
            <w:r>
              <w:rPr>
                <w:rStyle w:val="CharStyle26"/>
              </w:rPr>
              <w:t>№ 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shd w:val="clear" w:color="auto" w:fill="FFFFFF"/>
            <w:tcBorders>
              <w:left w:val="single" w:sz="4"/>
              <w:right w:val="single" w:sz="4"/>
              <w:top w:val="single" w:sz="4"/>
            </w:tcBorders>
            <w:vAlign w:val="top"/>
          </w:tcPr>
          <w:p>
            <w:pPr>
              <w:pStyle w:val="Style23"/>
              <w:framePr w:w="9886"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Положение о применения критерия оценки, показателя оценки, показателя оценки, детализирующего показатель оценки</w:t>
            </w:r>
          </w:p>
        </w:tc>
      </w:tr>
      <w:tr>
        <w:trPr>
          <w:trHeight w:val="740" w:hRule="exact"/>
        </w:trPr>
        <w:tc>
          <w:tcPr>
            <w:shd w:val="clear" w:color="auto" w:fill="FFFFFF"/>
            <w:tcBorders>
              <w:left w:val="single" w:sz="4"/>
              <w:top w:val="single" w:sz="4"/>
            </w:tcBorders>
            <w:vAlign w:val="top"/>
          </w:tcPr>
          <w:p>
            <w:pPr>
              <w:framePr w:w="988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3"/>
              <w:framePr w:w="9886" w:wrap="notBeside" w:vAnchor="text" w:hAnchor="text" w:xAlign="center" w:y="1"/>
              <w:widowControl w:val="0"/>
              <w:keepNext w:val="0"/>
              <w:keepLines w:val="0"/>
              <w:shd w:val="clear" w:color="auto" w:fill="auto"/>
              <w:bidi w:val="0"/>
              <w:jc w:val="both"/>
              <w:spacing w:before="0" w:after="0" w:line="266" w:lineRule="exact"/>
              <w:ind w:left="0" w:right="0" w:firstLine="540"/>
            </w:pPr>
            <w:r>
              <w:rPr>
                <w:rStyle w:val="CharStyle26"/>
              </w:rPr>
              <w:t>Цена контракта, сумма цен единиц товара, работы, услуги</w:t>
            </w:r>
          </w:p>
        </w:tc>
        <w:tc>
          <w:tcPr>
            <w:shd w:val="clear" w:color="auto" w:fill="FFFFFF"/>
            <w:tcBorders>
              <w:left w:val="single" w:sz="4"/>
              <w:right w:val="single" w:sz="4"/>
              <w:top w:val="single" w:sz="4"/>
            </w:tcBorders>
            <w:vAlign w:val="top"/>
          </w:tcPr>
          <w:p>
            <w:pPr>
              <w:pStyle w:val="Style23"/>
              <w:framePr w:w="9886" w:wrap="notBeside" w:vAnchor="text" w:hAnchor="text" w:xAlign="center" w:y="1"/>
              <w:widowControl w:val="0"/>
              <w:keepNext w:val="0"/>
              <w:keepLines w:val="0"/>
              <w:shd w:val="clear" w:color="auto" w:fill="auto"/>
              <w:bidi w:val="0"/>
              <w:jc w:val="both"/>
              <w:spacing w:before="0" w:after="0" w:line="230" w:lineRule="exact"/>
              <w:ind w:left="0" w:right="0" w:firstLine="540"/>
            </w:pPr>
            <w:r>
              <w:rPr>
                <w:rStyle w:val="CharStyle26"/>
              </w:rPr>
              <w:t>В соответствии с п. 9 Положения</w:t>
            </w:r>
          </w:p>
        </w:tc>
      </w:tr>
      <w:tr>
        <w:trPr>
          <w:trHeight w:val="5900" w:hRule="exact"/>
        </w:trPr>
        <w:tc>
          <w:tcPr>
            <w:shd w:val="clear" w:color="auto" w:fill="FFFFFF"/>
            <w:tcBorders>
              <w:left w:val="single" w:sz="4"/>
              <w:top w:val="single" w:sz="4"/>
              <w:bottom w:val="single" w:sz="4"/>
            </w:tcBorders>
            <w:vAlign w:val="top"/>
          </w:tcPr>
          <w:p>
            <w:pPr>
              <w:pStyle w:val="Style23"/>
              <w:framePr w:w="9886"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27"/>
              </w:rPr>
              <w:t>/</w:t>
            </w:r>
          </w:p>
        </w:tc>
        <w:tc>
          <w:tcPr>
            <w:shd w:val="clear" w:color="auto" w:fill="FFFFFF"/>
            <w:tcBorders>
              <w:left w:val="single" w:sz="4"/>
              <w:top w:val="single" w:sz="4"/>
              <w:bottom w:val="single" w:sz="4"/>
            </w:tcBorders>
            <w:vAlign w:val="bottom"/>
          </w:tcPr>
          <w:p>
            <w:pPr>
              <w:pStyle w:val="Style23"/>
              <w:framePr w:w="9886" w:wrap="notBeside" w:vAnchor="text" w:hAnchor="text" w:xAlign="center" w:y="1"/>
              <w:widowControl w:val="0"/>
              <w:keepNext w:val="0"/>
              <w:keepLines w:val="0"/>
              <w:shd w:val="clear" w:color="auto" w:fill="auto"/>
              <w:bidi w:val="0"/>
              <w:jc w:val="both"/>
              <w:spacing w:before="0" w:after="240" w:line="257" w:lineRule="exact"/>
              <w:ind w:left="0" w:right="0" w:firstLine="0"/>
            </w:pPr>
            <w:r>
              <w:rPr>
                <w:rStyle w:val="CharStyle26"/>
              </w:rPr>
              <w:t>1 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3"/>
              <w:framePr w:w="9886" w:wrap="notBeside" w:vAnchor="text" w:hAnchor="text" w:xAlign="center" w:y="1"/>
              <w:widowControl w:val="0"/>
              <w:keepNext w:val="0"/>
              <w:keepLines w:val="0"/>
              <w:shd w:val="clear" w:color="auto" w:fill="auto"/>
              <w:bidi w:val="0"/>
              <w:jc w:val="both"/>
              <w:spacing w:before="240" w:after="0" w:line="257" w:lineRule="exact"/>
              <w:ind w:left="0" w:right="0" w:firstLine="540"/>
            </w:pPr>
            <w:r>
              <w:rPr>
                <w:rStyle w:val="CharStyle26"/>
              </w:rPr>
              <w:t>Показатель оценки «Наличие у участников закупки опыта работы, связанного с предметом контракта»</w:t>
            </w:r>
          </w:p>
          <w:p>
            <w:pPr>
              <w:pStyle w:val="Style23"/>
              <w:framePr w:w="9886" w:wrap="notBeside" w:vAnchor="text" w:hAnchor="text" w:xAlign="center" w:y="1"/>
              <w:widowControl w:val="0"/>
              <w:keepNext w:val="0"/>
              <w:keepLines w:val="0"/>
              <w:shd w:val="clear" w:color="auto" w:fill="auto"/>
              <w:bidi w:val="0"/>
              <w:jc w:val="both"/>
              <w:spacing w:before="0" w:after="0" w:line="253" w:lineRule="exact"/>
              <w:ind w:left="0" w:right="0" w:firstLine="540"/>
            </w:pPr>
            <w:r>
              <w:rPr>
                <w:rStyle w:val="CharStyle26"/>
              </w:rPr>
              <w:t>Показатель оценки, детализирующий показатель оценки «Общее количество исполненных участником закупки</w:t>
            </w:r>
          </w:p>
        </w:tc>
        <w:tc>
          <w:tcPr>
            <w:shd w:val="clear" w:color="auto" w:fill="FFFFFF"/>
            <w:tcBorders>
              <w:left w:val="single" w:sz="4"/>
              <w:right w:val="single" w:sz="4"/>
              <w:top w:val="single" w:sz="4"/>
              <w:bottom w:val="single" w:sz="4"/>
            </w:tcBorders>
            <w:vAlign w:val="bottom"/>
          </w:tcPr>
          <w:p>
            <w:pPr>
              <w:pStyle w:val="Style23"/>
              <w:framePr w:w="9886"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Предмет договора (договоров), оцениваемый по детализирующему показателю, сопоставимый с предметом контракта, заключаемого по результатам определения подрядчика: к оценке принимается исключительно исполненный договор (договоры), предусматривающий выполнение работ по разработке проектной документации.</w:t>
            </w:r>
          </w:p>
          <w:p>
            <w:pPr>
              <w:pStyle w:val="Style23"/>
              <w:framePr w:w="9886"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Перечень документов, подтверждающих наличие у участника закупки опыта выполнения работы, связанного с предметом контракта: исполненный договор (договоры), акт (акты) приемки выполненных работ, составленные при исполнении такого договора (договоров).</w:t>
            </w:r>
          </w:p>
          <w:p>
            <w:pPr>
              <w:pStyle w:val="Style23"/>
              <w:framePr w:w="9886"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Акт, составленный при исполнении договора и предусмотренный вторым абзацем настоящего пункта, должен быть подписан не ранее чем за 5 лет до даты окончания срока подачи заявок.</w:t>
            </w:r>
          </w:p>
          <w:p>
            <w:pPr>
              <w:pStyle w:val="Style23"/>
              <w:framePr w:w="9886"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w:t>
            </w:r>
          </w:p>
          <w:p>
            <w:pPr>
              <w:pStyle w:val="Style23"/>
              <w:framePr w:w="9886"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К оценке принимается исключительно исполненный договор (договоры), при исполнении которого</w:t>
            </w:r>
          </w:p>
        </w:tc>
      </w:tr>
    </w:tbl>
    <w:p>
      <w:pPr>
        <w:widowControl w:val="0"/>
        <w:rPr>
          <w:sz w:val="2"/>
          <w:szCs w:val="2"/>
        </w:rPr>
      </w:pPr>
    </w:p>
    <w:tbl>
      <w:tblPr>
        <w:tblOverlap w:val="never"/>
        <w:tblLayout w:type="fixed"/>
        <w:jc w:val="center"/>
      </w:tblPr>
      <w:tblGrid>
        <w:gridCol w:w="551"/>
        <w:gridCol w:w="3521"/>
        <w:gridCol w:w="5886"/>
      </w:tblGrid>
      <w:tr>
        <w:trPr>
          <w:trHeight w:val="2618" w:hRule="exact"/>
        </w:trPr>
        <w:tc>
          <w:tcPr>
            <w:shd w:val="clear" w:color="auto" w:fill="FFFFFF"/>
            <w:tcBorders>
              <w:left w:val="single" w:sz="4"/>
              <w:top w:val="single" w:sz="4"/>
            </w:tcBorders>
            <w:vAlign w:val="top"/>
          </w:tcPr>
          <w:p>
            <w:pPr>
              <w:framePr w:w="995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3"/>
              <w:framePr w:w="9958"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6"/>
              </w:rPr>
              <w:t>договоров»</w:t>
            </w:r>
          </w:p>
        </w:tc>
        <w:tc>
          <w:tcPr>
            <w:shd w:val="clear" w:color="auto" w:fill="FFFFFF"/>
            <w:tcBorders>
              <w:left w:val="single" w:sz="4"/>
              <w:right w:val="single" w:sz="4"/>
              <w:top w:val="single" w:sz="4"/>
            </w:tcBorders>
            <w:vAlign w:val="bottom"/>
          </w:tcPr>
          <w:p>
            <w:pPr>
              <w:pStyle w:val="Style23"/>
              <w:framePr w:w="9958" w:wrap="notBeside" w:vAnchor="text" w:hAnchor="text" w:xAlign="center" w:y="1"/>
              <w:widowControl w:val="0"/>
              <w:keepNext w:val="0"/>
              <w:keepLines w:val="0"/>
              <w:shd w:val="clear" w:color="auto" w:fill="auto"/>
              <w:bidi w:val="0"/>
              <w:jc w:val="right"/>
              <w:spacing w:before="0" w:after="0" w:line="262" w:lineRule="exact"/>
              <w:ind w:left="0" w:right="100" w:firstLine="0"/>
            </w:pPr>
            <w:r>
              <w:rPr>
                <w:rStyle w:val="CharStyle26"/>
              </w:rPr>
              <w:t>Исполнителем исполнены все требования об уплате неустоек (штрафов, пеней) (в случае начисления неустоек).</w:t>
            </w:r>
          </w:p>
          <w:p>
            <w:pPr>
              <w:pStyle w:val="Style23"/>
              <w:framePr w:w="9958" w:wrap="notBeside" w:vAnchor="text" w:hAnchor="text" w:xAlign="center" w:y="1"/>
              <w:widowControl w:val="0"/>
              <w:keepNext w:val="0"/>
              <w:keepLines w:val="0"/>
              <w:shd w:val="clear" w:color="auto" w:fill="auto"/>
              <w:bidi w:val="0"/>
              <w:jc w:val="both"/>
              <w:spacing w:before="0" w:after="0" w:line="262" w:lineRule="exact"/>
              <w:ind w:left="0" w:right="0" w:firstLine="540"/>
            </w:pPr>
            <w:r>
              <w:rPr>
                <w:rStyle w:val="CharStyle26"/>
              </w:rPr>
              <w:t>К оценке принимаются документы в случае их представления в заявке в полном объеме и со всеми приложениями.</w:t>
            </w:r>
          </w:p>
          <w:p>
            <w:pPr>
              <w:pStyle w:val="Style23"/>
              <w:framePr w:w="9958" w:wrap="notBeside" w:vAnchor="text" w:hAnchor="text" w:xAlign="center" w:y="1"/>
              <w:widowControl w:val="0"/>
              <w:keepNext w:val="0"/>
              <w:keepLines w:val="0"/>
              <w:shd w:val="clear" w:color="auto" w:fill="auto"/>
              <w:bidi w:val="0"/>
              <w:jc w:val="both"/>
              <w:spacing w:before="0" w:after="0" w:line="262" w:lineRule="exact"/>
              <w:ind w:left="0" w:right="0" w:firstLine="540"/>
            </w:pPr>
            <w:r>
              <w:rPr>
                <w:rStyle w:val="CharStyle26"/>
              </w:rPr>
              <w:t>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tc>
      </w:tr>
      <w:tr>
        <w:trPr>
          <w:trHeight w:val="7791" w:hRule="exact"/>
        </w:trPr>
        <w:tc>
          <w:tcPr>
            <w:shd w:val="clear" w:color="auto" w:fill="FFFFFF"/>
            <w:tcBorders>
              <w:left w:val="single" w:sz="4"/>
              <w:top w:val="single" w:sz="4"/>
            </w:tcBorders>
            <w:vAlign w:val="top"/>
          </w:tcPr>
          <w:p>
            <w:pPr>
              <w:framePr w:w="995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3"/>
              <w:framePr w:w="9958" w:wrap="notBeside" w:vAnchor="text" w:hAnchor="text" w:xAlign="center" w:y="1"/>
              <w:widowControl w:val="0"/>
              <w:keepNext w:val="0"/>
              <w:keepLines w:val="0"/>
              <w:shd w:val="clear" w:color="auto" w:fill="auto"/>
              <w:bidi w:val="0"/>
              <w:jc w:val="both"/>
              <w:spacing w:before="0" w:after="240" w:line="257" w:lineRule="exact"/>
              <w:ind w:left="0" w:right="0" w:firstLine="0"/>
            </w:pPr>
            <w:r>
              <w:rPr>
                <w:rStyle w:val="CharStyle26"/>
                <w:lang w:val="en-US" w:eastAsia="en-US" w:bidi="en-US"/>
              </w:rPr>
              <w:t xml:space="preserve">i </w:t>
            </w:r>
            <w:r>
              <w:rPr>
                <w:rStyle w:val="CharStyle26"/>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3"/>
              <w:framePr w:w="9958" w:wrap="notBeside" w:vAnchor="text" w:hAnchor="text" w:xAlign="center" w:y="1"/>
              <w:widowControl w:val="0"/>
              <w:keepNext w:val="0"/>
              <w:keepLines w:val="0"/>
              <w:shd w:val="clear" w:color="auto" w:fill="auto"/>
              <w:bidi w:val="0"/>
              <w:jc w:val="both"/>
              <w:spacing w:before="240" w:after="0" w:line="262" w:lineRule="exact"/>
              <w:ind w:left="0" w:right="0" w:firstLine="540"/>
            </w:pPr>
            <w:r>
              <w:rPr>
                <w:rStyle w:val="CharStyle26"/>
              </w:rPr>
              <w:t>Показатель оценки «Наличие у участника закупки собственного или арендованного технологического оборудования, необходимого для выполнения полевых геодезических работ»:</w:t>
            </w:r>
          </w:p>
          <w:p>
            <w:pPr>
              <w:pStyle w:val="Style23"/>
              <w:framePr w:w="9958" w:wrap="notBeside" w:vAnchor="text" w:hAnchor="text" w:xAlign="center" w:y="1"/>
              <w:widowControl w:val="0"/>
              <w:keepNext w:val="0"/>
              <w:keepLines w:val="0"/>
              <w:shd w:val="clear" w:color="auto" w:fill="auto"/>
              <w:bidi w:val="0"/>
              <w:jc w:val="both"/>
              <w:spacing w:before="0" w:after="0" w:line="262" w:lineRule="exact"/>
              <w:ind w:left="0" w:right="0" w:firstLine="540"/>
            </w:pPr>
            <w:r>
              <w:rPr>
                <w:rStyle w:val="CharStyle26"/>
              </w:rPr>
              <w:t>спутникового геодезического оборудования.</w:t>
            </w:r>
          </w:p>
        </w:tc>
        <w:tc>
          <w:tcPr>
            <w:shd w:val="clear" w:color="auto" w:fill="FFFFFF"/>
            <w:tcBorders>
              <w:left w:val="single" w:sz="4"/>
              <w:right w:val="single" w:sz="4"/>
              <w:top w:val="single" w:sz="4"/>
            </w:tcBorders>
            <w:vAlign w:val="bottom"/>
          </w:tcPr>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Лучшим является наибольшее значение по показателю оценки.</w:t>
            </w:r>
          </w:p>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Предельное минимальное количество спутникового геодезического оборудования - 1</w:t>
            </w:r>
          </w:p>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Предельное максимальное количество спутникового геодезического оборудования - 5</w:t>
            </w:r>
          </w:p>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В качестве документов, подтверждающих наличие оборудования и других материальных ресурсов, рассматриваются следующие:</w:t>
            </w:r>
          </w:p>
          <w:p>
            <w:pPr>
              <w:pStyle w:val="Style23"/>
              <w:numPr>
                <w:ilvl w:val="0"/>
                <w:numId w:val="11"/>
              </w:numPr>
              <w:framePr w:w="9958" w:wrap="notBeside" w:vAnchor="text" w:hAnchor="text" w:xAlign="center" w:y="1"/>
              <w:tabs>
                <w:tab w:leader="none" w:pos="745" w:val="left"/>
              </w:tabs>
              <w:widowControl w:val="0"/>
              <w:keepNext w:val="0"/>
              <w:keepLines w:val="0"/>
              <w:shd w:val="clear" w:color="auto" w:fill="auto"/>
              <w:bidi w:val="0"/>
              <w:jc w:val="both"/>
              <w:spacing w:before="0" w:after="0" w:line="257" w:lineRule="exact"/>
              <w:ind w:left="0" w:right="0" w:firstLine="540"/>
            </w:pPr>
            <w:r>
              <w:rPr>
                <w:rStyle w:val="CharStyle26"/>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pPr>
              <w:pStyle w:val="Style23"/>
              <w:numPr>
                <w:ilvl w:val="0"/>
                <w:numId w:val="11"/>
              </w:numPr>
              <w:framePr w:w="9958" w:wrap="notBeside" w:vAnchor="text" w:hAnchor="text" w:xAlign="center" w:y="1"/>
              <w:tabs>
                <w:tab w:leader="none" w:pos="876" w:val="left"/>
              </w:tabs>
              <w:widowControl w:val="0"/>
              <w:keepNext w:val="0"/>
              <w:keepLines w:val="0"/>
              <w:shd w:val="clear" w:color="auto" w:fill="auto"/>
              <w:bidi w:val="0"/>
              <w:jc w:val="both"/>
              <w:spacing w:before="0" w:after="0" w:line="257" w:lineRule="exact"/>
              <w:ind w:left="0" w:right="0" w:firstLine="540"/>
            </w:pPr>
            <w:r>
              <w:rPr>
                <w:rStyle w:val="CharStyle26"/>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К оценке принимаются вышеперечисленные документы, в случае их представления в заявке в полном объеме и со всеми приложениями. Документы при этом направляются в форме электронных документов или в форме электронных образов бумажных документов.</w:t>
            </w:r>
          </w:p>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К спутниковому геодезическому оборудованию Заказчик относит: комплект глобальной навигационной спутниковой системы, в который входит не менее двух спутниковых геодезических приёмника.</w:t>
            </w:r>
          </w:p>
        </w:tc>
      </w:tr>
      <w:tr>
        <w:trPr>
          <w:trHeight w:val="2537" w:hRule="exact"/>
        </w:trPr>
        <w:tc>
          <w:tcPr>
            <w:shd w:val="clear" w:color="auto" w:fill="FFFFFF"/>
            <w:tcBorders>
              <w:left w:val="single" w:sz="4"/>
              <w:top w:val="single" w:sz="4"/>
              <w:bottom w:val="single" w:sz="4"/>
            </w:tcBorders>
            <w:vAlign w:val="top"/>
          </w:tcPr>
          <w:p>
            <w:pPr>
              <w:pStyle w:val="Style23"/>
              <w:framePr w:w="9958" w:wrap="notBeside" w:vAnchor="text" w:hAnchor="text" w:xAlign="center" w:y="1"/>
              <w:widowControl w:val="0"/>
              <w:keepNext w:val="0"/>
              <w:keepLines w:val="0"/>
              <w:shd w:val="clear" w:color="auto" w:fill="auto"/>
              <w:bidi w:val="0"/>
              <w:jc w:val="right"/>
              <w:spacing w:before="0" w:after="0" w:line="90" w:lineRule="exact"/>
              <w:ind w:left="0" w:right="20" w:firstLine="0"/>
            </w:pPr>
            <w:r>
              <w:rPr>
                <w:rStyle w:val="CharStyle28"/>
              </w:rPr>
              <w:t>L</w:t>
            </w:r>
          </w:p>
        </w:tc>
        <w:tc>
          <w:tcPr>
            <w:shd w:val="clear" w:color="auto" w:fill="FFFFFF"/>
            <w:tcBorders>
              <w:left w:val="single" w:sz="4"/>
              <w:top w:val="single" w:sz="4"/>
              <w:bottom w:val="single" w:sz="4"/>
            </w:tcBorders>
            <w:vAlign w:val="center"/>
          </w:tcPr>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w:t>
            </w:r>
          </w:p>
        </w:tc>
        <w:tc>
          <w:tcPr>
            <w:shd w:val="clear" w:color="auto" w:fill="FFFFFF"/>
            <w:tcBorders>
              <w:left w:val="single" w:sz="4"/>
              <w:right w:val="single" w:sz="4"/>
              <w:top w:val="single" w:sz="4"/>
              <w:bottom w:val="single" w:sz="4"/>
            </w:tcBorders>
            <w:vAlign w:val="center"/>
          </w:tcPr>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В рамках показателя рассматривается количество специалистов участника закупки, имеющих свидетельство о членстве в Саморегулируемой организации кадастровых инженеров.</w:t>
            </w:r>
          </w:p>
          <w:p>
            <w:pPr>
              <w:pStyle w:val="Style23"/>
              <w:framePr w:w="9958" w:wrap="notBeside" w:vAnchor="text" w:hAnchor="text" w:xAlign="center" w:y="1"/>
              <w:widowControl w:val="0"/>
              <w:keepNext w:val="0"/>
              <w:keepLines w:val="0"/>
              <w:shd w:val="clear" w:color="auto" w:fill="auto"/>
              <w:bidi w:val="0"/>
              <w:jc w:val="both"/>
              <w:spacing w:before="0" w:after="0" w:line="257" w:lineRule="exact"/>
              <w:ind w:left="0" w:right="0" w:firstLine="540"/>
            </w:pPr>
            <w:r>
              <w:rPr>
                <w:rStyle w:val="CharStyle26"/>
              </w:rPr>
              <w:t>Документы, подтверждающие наличие специалистов и иных работников, их квалификацию, предусмотренные перечнем:</w:t>
            </w:r>
          </w:p>
          <w:p>
            <w:pPr>
              <w:pStyle w:val="Style23"/>
              <w:framePr w:w="9958" w:wrap="notBeside" w:vAnchor="text" w:hAnchor="text" w:xAlign="center" w:y="1"/>
              <w:widowControl w:val="0"/>
              <w:keepNext w:val="0"/>
              <w:keepLines w:val="0"/>
              <w:shd w:val="clear" w:color="auto" w:fill="auto"/>
              <w:bidi w:val="0"/>
              <w:jc w:val="right"/>
              <w:spacing w:before="0" w:after="0" w:line="257" w:lineRule="exact"/>
              <w:ind w:left="0" w:right="100" w:firstLine="0"/>
            </w:pPr>
            <w:r>
              <w:rPr>
                <w:rStyle w:val="CharStyle26"/>
              </w:rPr>
              <w:t>- трудовая книжка или сведения о трудовой яеятельности. прет/смотренные статьей 66.1 Трудового</w:t>
            </w:r>
          </w:p>
        </w:tc>
      </w:tr>
    </w:tbl>
    <w:p>
      <w:pPr>
        <w:widowControl w:val="0"/>
        <w:rPr>
          <w:sz w:val="2"/>
          <w:szCs w:val="2"/>
        </w:rPr>
      </w:pPr>
    </w:p>
    <w:p>
      <w:pPr>
        <w:widowControl w:val="0"/>
        <w:rPr>
          <w:sz w:val="2"/>
          <w:szCs w:val="2"/>
        </w:rPr>
        <w:sectPr>
          <w:headerReference w:type="even" r:id="rId14"/>
          <w:headerReference w:type="default" r:id="rId15"/>
          <w:footerReference w:type="even" r:id="rId16"/>
          <w:footerReference w:type="default" r:id="rId17"/>
          <w:headerReference w:type="first" r:id="rId18"/>
          <w:footerReference w:type="first" r:id="rId19"/>
          <w:titlePg/>
          <w:pgSz w:w="11909" w:h="16838"/>
          <w:pgMar w:top="1513" w:left="812" w:right="812" w:bottom="2172" w:header="0" w:footer="3" w:gutter="317"/>
          <w:rtlGutter w:val="0"/>
          <w:cols w:space="720"/>
          <w:noEndnote/>
          <w:docGrid w:linePitch="360"/>
        </w:sectPr>
      </w:pPr>
    </w:p>
    <w:p>
      <w:pPr>
        <w:pStyle w:val="Style23"/>
        <w:tabs>
          <w:tab w:leader="none" w:pos="799" w:val="left"/>
          <w:tab w:leader="none" w:pos="3408" w:val="right"/>
        </w:tabs>
        <w:widowControl w:val="0"/>
        <w:keepNext w:val="0"/>
        <w:keepLines w:val="0"/>
        <w:shd w:val="clear" w:color="auto" w:fill="auto"/>
        <w:bidi w:val="0"/>
        <w:jc w:val="both"/>
        <w:spacing w:before="0" w:after="0" w:line="262" w:lineRule="exact"/>
        <w:ind w:left="20" w:right="0" w:firstLine="0"/>
      </w:pPr>
      <w:r>
        <w:rPr>
          <w:lang w:val="ru-RU" w:eastAsia="ru-RU" w:bidi="ru-RU"/>
          <w:w w:val="100"/>
          <w:spacing w:val="0"/>
          <w:color w:val="000000"/>
          <w:position w:val="0"/>
        </w:rPr>
        <w:t>и</w:t>
        <w:tab/>
        <w:t>деловой</w:t>
        <w:tab/>
        <w:t>репутации,</w:t>
      </w:r>
    </w:p>
    <w:p>
      <w:pPr>
        <w:pStyle w:val="Style23"/>
        <w:tabs>
          <w:tab w:leader="none" w:pos="3408" w:val="right"/>
        </w:tabs>
        <w:widowControl w:val="0"/>
        <w:keepNext w:val="0"/>
        <w:keepLines w:val="0"/>
        <w:shd w:val="clear" w:color="auto" w:fill="auto"/>
        <w:bidi w:val="0"/>
        <w:jc w:val="both"/>
        <w:spacing w:before="0" w:after="0" w:line="262" w:lineRule="exact"/>
        <w:ind w:left="20" w:right="20" w:firstLine="0"/>
      </w:pPr>
      <w:r>
        <w:rPr>
          <w:lang w:val="ru-RU" w:eastAsia="ru-RU" w:bidi="ru-RU"/>
          <w:w w:val="100"/>
          <w:spacing w:val="0"/>
          <w:color w:val="000000"/>
          <w:position w:val="0"/>
        </w:rPr>
        <w:t>специалистов и иных работников определенного</w:t>
        <w:tab/>
        <w:t>уровня</w:t>
      </w:r>
    </w:p>
    <w:p>
      <w:pPr>
        <w:pStyle w:val="Style23"/>
        <w:widowControl w:val="0"/>
        <w:keepNext w:val="0"/>
        <w:keepLines w:val="0"/>
        <w:shd w:val="clear" w:color="auto" w:fill="auto"/>
        <w:bidi w:val="0"/>
        <w:jc w:val="both"/>
        <w:spacing w:before="0" w:after="180" w:line="262" w:lineRule="exact"/>
        <w:ind w:left="20" w:right="0" w:firstLine="0"/>
      </w:pPr>
      <w:r>
        <w:rPr>
          <w:lang w:val="ru-RU" w:eastAsia="ru-RU" w:bidi="ru-RU"/>
          <w:w w:val="100"/>
          <w:spacing w:val="0"/>
          <w:color w:val="000000"/>
          <w:position w:val="0"/>
        </w:rPr>
        <w:t>квалификации»</w:t>
      </w:r>
    </w:p>
    <w:p>
      <w:pPr>
        <w:pStyle w:val="Style23"/>
        <w:tabs>
          <w:tab w:leader="none" w:pos="799" w:val="left"/>
          <w:tab w:leader="none" w:pos="3408" w:val="right"/>
        </w:tabs>
        <w:widowControl w:val="0"/>
        <w:keepNext w:val="0"/>
        <w:keepLines w:val="0"/>
        <w:shd w:val="clear" w:color="auto" w:fill="auto"/>
        <w:bidi w:val="0"/>
        <w:jc w:val="left"/>
        <w:spacing w:before="0" w:after="0" w:line="262" w:lineRule="exact"/>
        <w:ind w:left="20" w:right="20" w:firstLine="540"/>
      </w:pPr>
      <w:r>
        <w:rPr>
          <w:lang w:val="ru-RU" w:eastAsia="ru-RU" w:bidi="ru-RU"/>
          <w:w w:val="100"/>
          <w:spacing w:val="0"/>
          <w:color w:val="000000"/>
          <w:position w:val="0"/>
        </w:rPr>
        <w:t>Показатель оценки «Наличие у</w:t>
        <w:tab/>
        <w:t>участников</w:t>
        <w:tab/>
        <w:t>закупки</w:t>
      </w:r>
    </w:p>
    <w:p>
      <w:pPr>
        <w:pStyle w:val="Style23"/>
        <w:tabs>
          <w:tab w:leader="none" w:pos="3408" w:val="right"/>
        </w:tabs>
        <w:widowControl w:val="0"/>
        <w:keepNext w:val="0"/>
        <w:keepLines w:val="0"/>
        <w:shd w:val="clear" w:color="auto" w:fill="auto"/>
        <w:bidi w:val="0"/>
        <w:jc w:val="both"/>
        <w:spacing w:before="0" w:after="0" w:line="262" w:lineRule="exact"/>
        <w:ind w:left="20" w:right="20" w:firstLine="0"/>
      </w:pPr>
      <w:r>
        <w:rPr>
          <w:lang w:val="ru-RU" w:eastAsia="ru-RU" w:bidi="ru-RU"/>
          <w:w w:val="100"/>
          <w:spacing w:val="0"/>
          <w:color w:val="000000"/>
          <w:position w:val="0"/>
        </w:rPr>
        <w:t>специалистов и иных работников определенного</w:t>
        <w:tab/>
        <w:t>уровня</w:t>
      </w:r>
    </w:p>
    <w:p>
      <w:pPr>
        <w:pStyle w:val="Style23"/>
        <w:widowControl w:val="0"/>
        <w:keepNext w:val="0"/>
        <w:keepLines w:val="0"/>
        <w:shd w:val="clear" w:color="auto" w:fill="auto"/>
        <w:bidi w:val="0"/>
        <w:jc w:val="both"/>
        <w:spacing w:before="0" w:after="0" w:line="262" w:lineRule="exact"/>
        <w:ind w:left="20" w:right="0" w:firstLine="0"/>
      </w:pPr>
      <w:r>
        <w:rPr>
          <w:lang w:val="ru-RU" w:eastAsia="ru-RU" w:bidi="ru-RU"/>
          <w:w w:val="100"/>
          <w:spacing w:val="0"/>
          <w:color w:val="000000"/>
          <w:position w:val="0"/>
        </w:rPr>
        <w:t>квалификации»</w:t>
      </w:r>
    </w:p>
    <w:p>
      <w:pPr>
        <w:pStyle w:val="Style23"/>
        <w:tabs>
          <w:tab w:leader="none" w:pos="3408" w:val="right"/>
        </w:tabs>
        <w:widowControl w:val="0"/>
        <w:keepNext w:val="0"/>
        <w:keepLines w:val="0"/>
        <w:shd w:val="clear" w:color="auto" w:fill="auto"/>
        <w:bidi w:val="0"/>
        <w:jc w:val="both"/>
        <w:spacing w:before="0" w:after="0" w:line="262" w:lineRule="exact"/>
        <w:ind w:left="540" w:right="0" w:firstLine="0"/>
      </w:pPr>
      <w:r>
        <w:rPr>
          <w:lang w:val="ru-RU" w:eastAsia="ru-RU" w:bidi="ru-RU"/>
          <w:w w:val="100"/>
          <w:spacing w:val="0"/>
          <w:color w:val="000000"/>
          <w:position w:val="0"/>
        </w:rPr>
        <w:t>Показатель</w:t>
        <w:tab/>
        <w:t>оценки,</w:t>
      </w:r>
    </w:p>
    <w:p>
      <w:pPr>
        <w:pStyle w:val="Style23"/>
        <w:tabs>
          <w:tab w:leader="none" w:pos="3408" w:val="right"/>
        </w:tabs>
        <w:widowControl w:val="0"/>
        <w:keepNext w:val="0"/>
        <w:keepLines w:val="0"/>
        <w:shd w:val="clear" w:color="auto" w:fill="auto"/>
        <w:bidi w:val="0"/>
        <w:jc w:val="both"/>
        <w:spacing w:before="0" w:after="0" w:line="262" w:lineRule="exact"/>
        <w:ind w:left="20" w:right="0" w:firstLine="0"/>
      </w:pPr>
      <w:r>
        <w:rPr>
          <w:lang w:val="ru-RU" w:eastAsia="ru-RU" w:bidi="ru-RU"/>
          <w:w w:val="100"/>
          <w:spacing w:val="0"/>
          <w:color w:val="000000"/>
          <w:position w:val="0"/>
        </w:rPr>
        <w:t>детализирующий</w:t>
        <w:tab/>
        <w:t>показатель</w:t>
      </w:r>
    </w:p>
    <w:p>
      <w:pPr>
        <w:pStyle w:val="Style23"/>
        <w:tabs>
          <w:tab w:leader="none" w:pos="3408" w:val="right"/>
        </w:tabs>
        <w:widowControl w:val="0"/>
        <w:keepNext w:val="0"/>
        <w:keepLines w:val="0"/>
        <w:shd w:val="clear" w:color="auto" w:fill="auto"/>
        <w:bidi w:val="0"/>
        <w:jc w:val="both"/>
        <w:spacing w:before="0" w:after="0" w:line="262" w:lineRule="exact"/>
        <w:ind w:left="20" w:right="20" w:firstLine="0"/>
      </w:pPr>
      <w:r>
        <w:rPr>
          <w:lang w:val="ru-RU" w:eastAsia="ru-RU" w:bidi="ru-RU"/>
          <w:w w:val="100"/>
          <w:spacing w:val="0"/>
          <w:color w:val="000000"/>
          <w:position w:val="0"/>
        </w:rPr>
        <w:t>оценки «Наличие у участника конкурса специалистов, имеющих высшее и (или) среднее профессиональное образование в области,</w:t>
        <w:tab/>
        <w:t>соответствующей</w:t>
      </w:r>
    </w:p>
    <w:p>
      <w:pPr>
        <w:pStyle w:val="Style23"/>
        <w:widowControl w:val="0"/>
        <w:keepNext w:val="0"/>
        <w:keepLines w:val="0"/>
        <w:shd w:val="clear" w:color="auto" w:fill="auto"/>
        <w:bidi w:val="0"/>
        <w:jc w:val="both"/>
        <w:spacing w:before="0" w:after="0" w:line="262" w:lineRule="exact"/>
        <w:ind w:left="20" w:right="0" w:firstLine="0"/>
      </w:pPr>
      <w:r>
        <w:rPr>
          <w:lang w:val="ru-RU" w:eastAsia="ru-RU" w:bidi="ru-RU"/>
          <w:w w:val="100"/>
          <w:spacing w:val="0"/>
          <w:color w:val="000000"/>
          <w:position w:val="0"/>
        </w:rPr>
        <w:t xml:space="preserve">предмету конкурса.» кодекса Российской Федерации, </w:t>
      </w:r>
      <w:r>
        <w:rPr>
          <w:rStyle w:val="CharStyle30"/>
        </w:rPr>
        <w:t>подтверждающие трудовые отношения специалиста с участником закупки и стаж работы по направлению деятельности, связанный с предметом контракта, на право заключения которого проводится закупка (не менее 5 лет);</w:t>
      </w:r>
    </w:p>
    <w:p>
      <w:pPr>
        <w:pStyle w:val="Style23"/>
        <w:widowControl w:val="0"/>
        <w:keepNext w:val="0"/>
        <w:keepLines w:val="0"/>
        <w:shd w:val="clear" w:color="auto" w:fill="auto"/>
        <w:bidi w:val="0"/>
        <w:jc w:val="both"/>
        <w:spacing w:before="0" w:after="0" w:line="262" w:lineRule="exact"/>
        <w:ind w:left="20" w:right="20" w:firstLine="540"/>
      </w:pPr>
      <w:r>
        <w:rPr>
          <w:lang w:val="ru-RU" w:eastAsia="ru-RU" w:bidi="ru-RU"/>
          <w:w w:val="100"/>
          <w:spacing w:val="0"/>
          <w:color w:val="000000"/>
          <w:position w:val="0"/>
        </w:rPr>
        <w:t>- документы, подтверждающие предусмотренную в соответствии с профессиональными стандартами квалификацию специалистов и иных работников:</w:t>
      </w:r>
    </w:p>
    <w:p>
      <w:pPr>
        <w:pStyle w:val="Style23"/>
        <w:widowControl w:val="0"/>
        <w:keepNext w:val="0"/>
        <w:keepLines w:val="0"/>
        <w:shd w:val="clear" w:color="auto" w:fill="auto"/>
        <w:bidi w:val="0"/>
        <w:jc w:val="both"/>
        <w:spacing w:before="0" w:after="0" w:line="262" w:lineRule="exact"/>
        <w:ind w:left="20" w:right="20" w:firstLine="540"/>
      </w:pPr>
      <w:r>
        <w:rPr>
          <w:lang w:val="ru-RU" w:eastAsia="ru-RU" w:bidi="ru-RU"/>
          <w:w w:val="100"/>
          <w:spacing w:val="0"/>
          <w:color w:val="000000"/>
          <w:position w:val="0"/>
        </w:rPr>
        <w:t>копия диплома об образовании, копия свидетельства о членстве в Саморегулируемой организации кадастровых инженеров.</w:t>
      </w:r>
    </w:p>
    <w:p>
      <w:pPr>
        <w:pStyle w:val="Style23"/>
        <w:widowControl w:val="0"/>
        <w:keepNext w:val="0"/>
        <w:keepLines w:val="0"/>
        <w:shd w:val="clear" w:color="auto" w:fill="auto"/>
        <w:bidi w:val="0"/>
        <w:jc w:val="both"/>
        <w:spacing w:before="0" w:after="0" w:line="262" w:lineRule="exact"/>
        <w:ind w:left="20" w:right="20" w:firstLine="540"/>
      </w:pPr>
      <w:r>
        <w:rPr>
          <w:lang w:val="ru-RU" w:eastAsia="ru-RU" w:bidi="ru-RU"/>
          <w:w w:val="100"/>
          <w:spacing w:val="0"/>
          <w:color w:val="000000"/>
          <w:position w:val="0"/>
        </w:rPr>
        <w:t>Оценивается на основании представленного участником закупки комплекта документов в совокупности.</w:t>
      </w:r>
    </w:p>
    <w:p>
      <w:pPr>
        <w:pStyle w:val="Style23"/>
        <w:widowControl w:val="0"/>
        <w:keepNext w:val="0"/>
        <w:keepLines w:val="0"/>
        <w:shd w:val="clear" w:color="auto" w:fill="auto"/>
        <w:bidi w:val="0"/>
        <w:jc w:val="both"/>
        <w:spacing w:before="0" w:after="0" w:line="262" w:lineRule="exact"/>
        <w:ind w:left="20" w:right="20" w:firstLine="540"/>
      </w:pPr>
      <w:r>
        <w:rPr>
          <w:lang w:val="ru-RU" w:eastAsia="ru-RU" w:bidi="ru-RU"/>
          <w:w w:val="100"/>
          <w:spacing w:val="0"/>
          <w:color w:val="000000"/>
          <w:position w:val="0"/>
        </w:rPr>
        <w:t>При включении в заявку участника закупки нескольких дипломов на одного специалиста, подтверждающих наличие разных специальностей (направлений подготовки), при оценке учитывается только один диплом.</w:t>
      </w:r>
    </w:p>
    <w:p>
      <w:pPr>
        <w:pStyle w:val="Style23"/>
        <w:tabs>
          <w:tab w:leader="none" w:pos="5701" w:val="right"/>
        </w:tabs>
        <w:widowControl w:val="0"/>
        <w:keepNext w:val="0"/>
        <w:keepLines w:val="0"/>
        <w:shd w:val="clear" w:color="auto" w:fill="auto"/>
        <w:bidi w:val="0"/>
        <w:jc w:val="both"/>
        <w:spacing w:before="0" w:after="0" w:line="262" w:lineRule="exact"/>
        <w:ind w:left="20" w:right="20" w:firstLine="540"/>
      </w:pPr>
      <w:r>
        <w:rPr>
          <w:lang w:val="ru-RU" w:eastAsia="ru-RU" w:bidi="ru-RU"/>
          <w:w w:val="100"/>
          <w:spacing w:val="0"/>
          <w:color w:val="000000"/>
          <w:position w:val="0"/>
        </w:rPr>
        <w:t>Предельное минимальное значение квалификации участника закупки, установленное заказчиком -</w:t>
        <w:tab/>
        <w:t>1</w:t>
      </w:r>
    </w:p>
    <w:p>
      <w:pPr>
        <w:pStyle w:val="Style23"/>
        <w:widowControl w:val="0"/>
        <w:keepNext w:val="0"/>
        <w:keepLines w:val="0"/>
        <w:shd w:val="clear" w:color="auto" w:fill="auto"/>
        <w:bidi w:val="0"/>
        <w:jc w:val="both"/>
        <w:spacing w:before="0" w:after="0" w:line="262" w:lineRule="exact"/>
        <w:ind w:left="20" w:right="0" w:firstLine="0"/>
      </w:pPr>
      <w:r>
        <w:rPr>
          <w:lang w:val="ru-RU" w:eastAsia="ru-RU" w:bidi="ru-RU"/>
          <w:w w:val="100"/>
          <w:spacing w:val="0"/>
          <w:color w:val="000000"/>
          <w:position w:val="0"/>
        </w:rPr>
        <w:t>специалист, имеющий требуемую квалификацию.</w:t>
      </w:r>
    </w:p>
    <w:p>
      <w:pPr>
        <w:pStyle w:val="Style23"/>
        <w:tabs>
          <w:tab w:leader="none" w:pos="5701" w:val="right"/>
        </w:tabs>
        <w:widowControl w:val="0"/>
        <w:keepNext w:val="0"/>
        <w:keepLines w:val="0"/>
        <w:shd w:val="clear" w:color="auto" w:fill="auto"/>
        <w:bidi w:val="0"/>
        <w:jc w:val="both"/>
        <w:spacing w:before="0" w:after="0" w:line="262" w:lineRule="exact"/>
        <w:ind w:left="20" w:right="20" w:firstLine="540"/>
      </w:pPr>
      <w:r>
        <w:rPr>
          <w:lang w:val="ru-RU" w:eastAsia="ru-RU" w:bidi="ru-RU"/>
          <w:w w:val="100"/>
          <w:spacing w:val="0"/>
          <w:color w:val="000000"/>
          <w:position w:val="0"/>
        </w:rPr>
        <w:t>Предельное максимальное значение квалификации участника закупки, установленное заказчиком -</w:t>
        <w:tab/>
        <w:t>5</w:t>
      </w:r>
    </w:p>
    <w:p>
      <w:pPr>
        <w:pStyle w:val="Style23"/>
        <w:widowControl w:val="0"/>
        <w:keepNext w:val="0"/>
        <w:keepLines w:val="0"/>
        <w:shd w:val="clear" w:color="auto" w:fill="auto"/>
        <w:bidi w:val="0"/>
        <w:jc w:val="both"/>
        <w:spacing w:before="0" w:after="0" w:line="262" w:lineRule="exact"/>
        <w:ind w:left="20" w:right="0" w:firstLine="0"/>
        <w:sectPr>
          <w:headerReference w:type="even" r:id="rId20"/>
          <w:headerReference w:type="default" r:id="rId21"/>
          <w:footerReference w:type="even" r:id="rId22"/>
          <w:footerReference w:type="default" r:id="rId23"/>
          <w:headerReference w:type="first" r:id="rId24"/>
          <w:footerReference w:type="first" r:id="rId25"/>
          <w:titlePg/>
          <w:pgSz w:w="11909" w:h="16838"/>
          <w:pgMar w:top="2093" w:left="1596" w:right="1077" w:bottom="1912" w:header="0" w:footer="3" w:gutter="0"/>
          <w:rtlGutter w:val="0"/>
          <w:cols w:num="2" w:sep="1" w:space="720" w:equalWidth="0">
            <w:col w:w="3413" w:space="108"/>
            <w:col w:w="5715"/>
          </w:cols>
          <w:noEndnote/>
          <w:docGrid w:linePitch="360"/>
        </w:sectPr>
      </w:pPr>
      <w:r>
        <w:rPr>
          <w:lang w:val="ru-RU" w:eastAsia="ru-RU" w:bidi="ru-RU"/>
          <w:w w:val="100"/>
          <w:spacing w:val="0"/>
          <w:color w:val="000000"/>
          <w:position w:val="0"/>
        </w:rPr>
        <w:t>специалистов, имеющих требуемую квалификацию.</w:t>
      </w:r>
    </w:p>
    <w:p>
      <w:pPr>
        <w:widowControl w:val="0"/>
        <w:spacing w:before="72" w:after="7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both"/>
        <w:spacing w:before="0" w:after="0" w:line="284" w:lineRule="exact"/>
        <w:ind w:left="20" w:right="20" w:firstLine="660"/>
      </w:pPr>
      <w:r>
        <w:rPr>
          <w:lang w:val="ru-RU" w:eastAsia="ru-RU" w:bidi="ru-RU"/>
          <w:w w:val="100"/>
          <w:spacing w:val="0"/>
          <w:color w:val="000000"/>
          <w:position w:val="0"/>
        </w:rPr>
        <w:t>Заявитель в своей жалобе указывает на несоответствие требованиям Положения не стоимостных критериев, а именно:</w:t>
      </w:r>
    </w:p>
    <w:p>
      <w:pPr>
        <w:pStyle w:val="Style23"/>
        <w:widowControl w:val="0"/>
        <w:keepNext w:val="0"/>
        <w:keepLines w:val="0"/>
        <w:shd w:val="clear" w:color="auto" w:fill="auto"/>
        <w:bidi w:val="0"/>
        <w:jc w:val="both"/>
        <w:spacing w:before="0" w:after="0" w:line="284" w:lineRule="exact"/>
        <w:ind w:left="20" w:right="20" w:firstLine="660"/>
      </w:pPr>
      <w:r>
        <w:rPr>
          <w:lang w:val="ru-RU" w:eastAsia="ru-RU" w:bidi="ru-RU"/>
          <w:w w:val="100"/>
          <w:spacing w:val="0"/>
          <w:color w:val="000000"/>
          <w:position w:val="0"/>
        </w:rPr>
        <w:t xml:space="preserve">«1. В Показателе №2: «Наличие у участника закупки собственного или арендованного технологического оборудования, необходимого для выполнения работ: спутникового геодезического оборудования», </w:t>
      </w:r>
      <w:r>
        <w:rPr>
          <w:rStyle w:val="CharStyle31"/>
        </w:rPr>
        <w:t>заказчик указывает:</w:t>
      </w:r>
    </w:p>
    <w:p>
      <w:pPr>
        <w:pStyle w:val="Style23"/>
        <w:widowControl w:val="0"/>
        <w:keepNext w:val="0"/>
        <w:keepLines w:val="0"/>
        <w:shd w:val="clear" w:color="auto" w:fill="auto"/>
        <w:bidi w:val="0"/>
        <w:jc w:val="both"/>
        <w:spacing w:before="0" w:after="0" w:line="284" w:lineRule="exact"/>
        <w:ind w:left="680" w:right="20" w:firstLine="0"/>
      </w:pPr>
      <w:r>
        <w:rPr>
          <w:lang w:val="ru-RU" w:eastAsia="ru-RU" w:bidi="ru-RU"/>
          <w:w w:val="100"/>
          <w:spacing w:val="0"/>
          <w:color w:val="000000"/>
          <w:position w:val="0"/>
        </w:rPr>
        <w:t>Предельное минимальное количество спутникового геодезического оборудования - 1 Предельное максимальное количество спутникового геодезического оборудования -</w:t>
      </w:r>
    </w:p>
    <w:p>
      <w:pPr>
        <w:pStyle w:val="Style32"/>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5</w:t>
      </w:r>
    </w:p>
    <w:p>
      <w:pPr>
        <w:pStyle w:val="Style23"/>
        <w:widowControl w:val="0"/>
        <w:keepNext w:val="0"/>
        <w:keepLines w:val="0"/>
        <w:shd w:val="clear" w:color="auto" w:fill="auto"/>
        <w:bidi w:val="0"/>
        <w:jc w:val="both"/>
        <w:spacing w:before="0" w:after="53" w:line="280" w:lineRule="exact"/>
        <w:ind w:left="20" w:right="20" w:firstLine="660"/>
      </w:pPr>
      <w:r>
        <w:rPr>
          <w:lang w:val="ru-RU" w:eastAsia="ru-RU" w:bidi="ru-RU"/>
          <w:w w:val="100"/>
          <w:spacing w:val="0"/>
          <w:color w:val="000000"/>
          <w:position w:val="0"/>
        </w:rPr>
        <w:t xml:space="preserve">При этом далее по тексту указано: к спутниковому геодезическому оборудованию Заказчик относит: комплект глобальной навигационной спутниковой системы, в который входит </w:t>
      </w:r>
      <w:r>
        <w:rPr>
          <w:rStyle w:val="CharStyle31"/>
        </w:rPr>
        <w:t xml:space="preserve">не менее двух спутниковых геодезических приёмника, </w:t>
      </w:r>
      <w:r>
        <w:rPr>
          <w:lang w:val="ru-RU" w:eastAsia="ru-RU" w:bidi="ru-RU"/>
          <w:w w:val="100"/>
          <w:spacing w:val="0"/>
          <w:color w:val="000000"/>
          <w:position w:val="0"/>
        </w:rPr>
        <w:t>что является введением в заблуждение потенциальных участников закупки.</w:t>
      </w:r>
    </w:p>
    <w:p>
      <w:pPr>
        <w:pStyle w:val="Style32"/>
        <w:widowControl w:val="0"/>
        <w:keepNext w:val="0"/>
        <w:keepLines w:val="0"/>
        <w:shd w:val="clear" w:color="auto" w:fill="auto"/>
        <w:bidi w:val="0"/>
        <w:spacing w:before="0" w:after="71" w:line="289" w:lineRule="exact"/>
        <w:ind w:left="20" w:right="20" w:firstLine="660"/>
      </w:pPr>
      <w:r>
        <w:rPr>
          <w:rStyle w:val="CharStyle34"/>
          <w:b w:val="0"/>
          <w:bCs w:val="0"/>
        </w:rPr>
        <w:t xml:space="preserve">2. </w:t>
      </w:r>
      <w:r>
        <w:rPr>
          <w:lang w:val="ru-RU" w:eastAsia="ru-RU" w:bidi="ru-RU"/>
          <w:w w:val="100"/>
          <w:spacing w:val="0"/>
          <w:color w:val="000000"/>
          <w:position w:val="0"/>
        </w:rPr>
        <w:t xml:space="preserve">В </w:t>
      </w:r>
      <w:r>
        <w:rPr>
          <w:rStyle w:val="CharStyle34"/>
          <w:b w:val="0"/>
          <w:bCs w:val="0"/>
        </w:rPr>
        <w:t xml:space="preserve">Показателе №3 </w:t>
      </w:r>
      <w:r>
        <w:rPr>
          <w:lang w:val="ru-RU" w:eastAsia="ru-RU" w:bidi="ru-RU"/>
          <w:w w:val="100"/>
          <w:spacing w:val="0"/>
          <w:color w:val="000000"/>
          <w:position w:val="0"/>
        </w:rPr>
        <w:t xml:space="preserve">«Наличие у участников закупки специалистов и иных работников определенного уровня квалификации», </w:t>
      </w:r>
      <w:r>
        <w:rPr>
          <w:rStyle w:val="CharStyle34"/>
          <w:b w:val="0"/>
          <w:bCs w:val="0"/>
        </w:rPr>
        <w:t>заказчик требует от участников закупки следующее:</w:t>
      </w:r>
    </w:p>
    <w:p>
      <w:pPr>
        <w:pStyle w:val="Style23"/>
        <w:widowControl w:val="0"/>
        <w:keepNext w:val="0"/>
        <w:keepLines w:val="0"/>
        <w:shd w:val="clear" w:color="auto" w:fill="auto"/>
        <w:bidi w:val="0"/>
        <w:jc w:val="both"/>
        <w:spacing w:before="0" w:after="0" w:line="275" w:lineRule="exact"/>
        <w:ind w:left="20" w:right="20" w:firstLine="660"/>
      </w:pPr>
      <w:r>
        <w:rPr>
          <w:lang w:val="ru-RU" w:eastAsia="ru-RU" w:bidi="ru-RU"/>
          <w:w w:val="100"/>
          <w:spacing w:val="0"/>
          <w:color w:val="000000"/>
          <w:position w:val="0"/>
        </w:rPr>
        <w:t>Документы, подтверждающие наличие специалистов и иных работников, их квалификацию, предусмотренные перечнем:</w:t>
      </w:r>
    </w:p>
    <w:p>
      <w:pPr>
        <w:pStyle w:val="Style23"/>
        <w:widowControl w:val="0"/>
        <w:keepNext w:val="0"/>
        <w:keepLines w:val="0"/>
        <w:shd w:val="clear" w:color="auto" w:fill="auto"/>
        <w:bidi w:val="0"/>
        <w:jc w:val="both"/>
        <w:spacing w:before="0" w:after="0" w:line="275" w:lineRule="exact"/>
        <w:ind w:left="20" w:right="0" w:firstLine="660"/>
      </w:pPr>
      <w:r>
        <w:rPr>
          <w:lang w:val="ru-RU" w:eastAsia="ru-RU" w:bidi="ru-RU"/>
          <w:w w:val="100"/>
          <w:spacing w:val="0"/>
          <w:color w:val="000000"/>
          <w:position w:val="0"/>
        </w:rPr>
        <w:t>- трудовая книжка или сведения о трудовой деятельности, предусмотренные статьей</w:t>
      </w:r>
    </w:p>
    <w:p>
      <w:pPr>
        <w:pStyle w:val="Style35"/>
        <w:numPr>
          <w:ilvl w:val="0"/>
          <w:numId w:val="13"/>
        </w:numPr>
        <w:tabs>
          <w:tab w:leader="none" w:pos="558" w:val="left"/>
        </w:tabs>
        <w:widowControl w:val="0"/>
        <w:keepNext w:val="0"/>
        <w:keepLines w:val="0"/>
        <w:shd w:val="clear" w:color="auto" w:fill="auto"/>
        <w:bidi w:val="0"/>
        <w:spacing w:before="0" w:after="0" w:line="275" w:lineRule="exact"/>
        <w:ind w:left="20" w:right="20" w:firstLine="0"/>
        <w:sectPr>
          <w:type w:val="continuous"/>
          <w:pgSz w:w="11909" w:h="16838"/>
          <w:pgMar w:top="2093" w:left="1140" w:right="1226" w:bottom="1912" w:header="0" w:footer="3" w:gutter="0"/>
          <w:rtlGutter w:val="0"/>
          <w:cols w:space="720"/>
          <w:noEndnote/>
          <w:docGrid w:linePitch="360"/>
        </w:sectPr>
      </w:pPr>
      <w:r>
        <w:rPr>
          <w:rStyle w:val="CharStyle29"/>
          <w:i w:val="0"/>
          <w:iCs w:val="0"/>
        </w:rPr>
        <w:t xml:space="preserve">Трудового кодекса Российской Федерации, </w:t>
      </w:r>
      <w:r>
        <w:rPr>
          <w:lang w:val="ru-RU" w:eastAsia="ru-RU" w:bidi="ru-RU"/>
          <w:w w:val="100"/>
          <w:spacing w:val="0"/>
          <w:color w:val="000000"/>
          <w:position w:val="0"/>
        </w:rPr>
        <w:t>подтверждающие трудовые отношения специалиста с участником закупки и стаж работы по направлению деятельности,</w:t>
      </w:r>
    </w:p>
    <w:p>
      <w:pPr>
        <w:pStyle w:val="Style35"/>
        <w:widowControl w:val="0"/>
        <w:keepNext w:val="0"/>
        <w:keepLines w:val="0"/>
        <w:shd w:val="clear" w:color="auto" w:fill="auto"/>
        <w:bidi w:val="0"/>
        <w:spacing w:before="0" w:after="0" w:line="275" w:lineRule="exact"/>
        <w:ind w:left="20" w:right="40" w:firstLine="0"/>
      </w:pPr>
      <w:r>
        <w:rPr>
          <w:lang w:val="ru-RU" w:eastAsia="ru-RU" w:bidi="ru-RU"/>
          <w:w w:val="100"/>
          <w:spacing w:val="0"/>
          <w:color w:val="000000"/>
          <w:position w:val="0"/>
        </w:rPr>
        <w:t xml:space="preserve">связанный с предметом контракта, на право заключения которого проводится закупка </w:t>
      </w:r>
      <w:r>
        <w:rPr>
          <w:rStyle w:val="CharStyle36"/>
          <w:i/>
          <w:iCs/>
        </w:rPr>
        <w:t>(не менее 5 лет),</w:t>
      </w:r>
      <w:r>
        <w:rPr>
          <w:rStyle w:val="CharStyle37"/>
          <w:i w:val="0"/>
          <w:iCs w:val="0"/>
        </w:rPr>
        <w:t xml:space="preserve"> по нашему мнению установление стажа работы ущемляет права участников закупки».</w:t>
      </w:r>
    </w:p>
    <w:p>
      <w:pPr>
        <w:pStyle w:val="Style23"/>
        <w:widowControl w:val="0"/>
        <w:keepNext w:val="0"/>
        <w:keepLines w:val="0"/>
        <w:shd w:val="clear" w:color="auto" w:fill="auto"/>
        <w:bidi w:val="0"/>
        <w:jc w:val="both"/>
        <w:spacing w:before="0" w:after="0" w:line="275" w:lineRule="exact"/>
        <w:ind w:left="20" w:right="40" w:firstLine="660"/>
      </w:pPr>
      <w:r>
        <w:rPr>
          <w:lang w:val="ru-RU" w:eastAsia="ru-RU" w:bidi="ru-RU"/>
          <w:w w:val="100"/>
          <w:spacing w:val="0"/>
          <w:color w:val="000000"/>
          <w:position w:val="0"/>
        </w:rPr>
        <w:t>В свою очередь Комиссия Управления отмечает, что критерии оценки заявок участников Закупки сформированы в соответствии с Положением, утвержденным Постановлением Правительства №2604.</w:t>
      </w:r>
    </w:p>
    <w:p>
      <w:pPr>
        <w:pStyle w:val="Style23"/>
        <w:widowControl w:val="0"/>
        <w:keepNext w:val="0"/>
        <w:keepLines w:val="0"/>
        <w:shd w:val="clear" w:color="auto" w:fill="auto"/>
        <w:bidi w:val="0"/>
        <w:jc w:val="both"/>
        <w:spacing w:before="0" w:after="0" w:line="280" w:lineRule="exact"/>
        <w:ind w:left="20" w:right="40" w:firstLine="660"/>
      </w:pPr>
      <w:r>
        <w:rPr>
          <w:lang w:val="ru-RU" w:eastAsia="ru-RU" w:bidi="ru-RU"/>
          <w:w w:val="100"/>
          <w:spacing w:val="0"/>
          <w:color w:val="000000"/>
          <w:position w:val="0"/>
        </w:rPr>
        <w:t>В части первого довода Заявителя об установлении показателя оценки «Наличие у участника закупки собственного или арендованного технологического оборудования, необходимого для выполнения полевых геодезических работ» - спутникового геодезического оборудования с не менее двумя спутниковыми геодезическими приёмниками, установлено, что данные показателя не являются вводящими в заблуждение, так как настоящее оборудование может включать в себя 2 и более спутниковых геодезических приёмника (установлено из открытых источников сети интернет).</w:t>
      </w:r>
    </w:p>
    <w:p>
      <w:pPr>
        <w:pStyle w:val="Style23"/>
        <w:widowControl w:val="0"/>
        <w:keepNext w:val="0"/>
        <w:keepLines w:val="0"/>
        <w:shd w:val="clear" w:color="auto" w:fill="auto"/>
        <w:bidi w:val="0"/>
        <w:jc w:val="both"/>
        <w:spacing w:before="0" w:after="0" w:line="280" w:lineRule="exact"/>
        <w:ind w:left="20" w:right="40" w:firstLine="660"/>
      </w:pPr>
      <w:r>
        <w:rPr>
          <w:lang w:val="ru-RU" w:eastAsia="ru-RU" w:bidi="ru-RU"/>
          <w:w w:val="100"/>
          <w:spacing w:val="0"/>
          <w:color w:val="000000"/>
          <w:position w:val="0"/>
        </w:rPr>
        <w:t>В части второго довода Заявителя об установлении минимального стажа работы по направлению деятельности, связанного с предметом контракта, на право заключения которого проводится закупка (не менее 5 лет), данное требование Заказчиком установлено в целях надлежащего исполнения обязательств и обусловлено его потребностями.</w:t>
      </w:r>
    </w:p>
    <w:p>
      <w:pPr>
        <w:pStyle w:val="Style23"/>
        <w:widowControl w:val="0"/>
        <w:keepNext w:val="0"/>
        <w:keepLines w:val="0"/>
        <w:shd w:val="clear" w:color="auto" w:fill="auto"/>
        <w:bidi w:val="0"/>
        <w:jc w:val="both"/>
        <w:spacing w:before="0" w:after="0" w:line="280" w:lineRule="exact"/>
        <w:ind w:left="20" w:right="40" w:firstLine="660"/>
      </w:pPr>
      <w:r>
        <w:rPr>
          <w:lang w:val="ru-RU" w:eastAsia="ru-RU" w:bidi="ru-RU"/>
          <w:w w:val="100"/>
          <w:spacing w:val="0"/>
          <w:color w:val="000000"/>
          <w:position w:val="0"/>
        </w:rPr>
        <w:t>При этом Заявителем не предоставлено доказательств наличия ограничений конкуренции при установлении указанного требования.</w:t>
      </w:r>
    </w:p>
    <w:p>
      <w:pPr>
        <w:pStyle w:val="Style23"/>
        <w:widowControl w:val="0"/>
        <w:keepNext w:val="0"/>
        <w:keepLines w:val="0"/>
        <w:shd w:val="clear" w:color="auto" w:fill="auto"/>
        <w:bidi w:val="0"/>
        <w:jc w:val="both"/>
        <w:spacing w:before="0" w:after="0" w:line="280" w:lineRule="exact"/>
        <w:ind w:left="20" w:right="40" w:firstLine="660"/>
      </w:pPr>
      <w:r>
        <w:rPr>
          <w:lang w:val="ru-RU" w:eastAsia="ru-RU" w:bidi="ru-RU"/>
          <w:w w:val="100"/>
          <w:spacing w:val="0"/>
          <w:color w:val="000000"/>
          <w:position w:val="0"/>
        </w:rPr>
        <w:t>Также Комиссия Управления отмечает, что установленные критерии являются оценочными, а не отборочными. Не представление таких документов не является обстоятельством, исключающим возможность принять участие в конкурсе и не влечет отклонение заявки, а соответственно не ограничивают конкуренцию. Не являясь условием допуска к участию, данные документы учитываются Заказчиком только в рамках оценочной стадии.</w:t>
      </w:r>
    </w:p>
    <w:p>
      <w:pPr>
        <w:pStyle w:val="Style23"/>
        <w:widowControl w:val="0"/>
        <w:keepNext w:val="0"/>
        <w:keepLines w:val="0"/>
        <w:shd w:val="clear" w:color="auto" w:fill="auto"/>
        <w:bidi w:val="0"/>
        <w:jc w:val="both"/>
        <w:spacing w:before="0" w:after="0" w:line="280" w:lineRule="exact"/>
        <w:ind w:left="20" w:right="40" w:firstLine="660"/>
      </w:pPr>
      <w:r>
        <w:rPr>
          <w:lang w:val="ru-RU" w:eastAsia="ru-RU" w:bidi="ru-RU"/>
          <w:w w:val="100"/>
          <w:spacing w:val="0"/>
          <w:color w:val="000000"/>
          <w:position w:val="0"/>
        </w:rPr>
        <w:t>Заявитель как податель жалобы в антимонопольный орган и лицо, участвующее в деле, обязан вместе с жалобой представить соответствующие его позиции доказательства, подтверждающие или опровергающие оспариваемые обстоятельства. Как следует из материалов дела, заявителем такие документы приложены не были, обоснований и объективных доказательств наличия в действиях заказчика нарушений, помимо субъективной оценки таких действий, не представлено. Представитель Заявителя на рассмотрение жалобы по существу не явился, иных документов и информацию, подтверждающих обоснованность довода жалобы не представил.</w:t>
      </w:r>
    </w:p>
    <w:p>
      <w:pPr>
        <w:pStyle w:val="Style23"/>
        <w:widowControl w:val="0"/>
        <w:keepNext w:val="0"/>
        <w:keepLines w:val="0"/>
        <w:shd w:val="clear" w:color="auto" w:fill="auto"/>
        <w:bidi w:val="0"/>
        <w:jc w:val="both"/>
        <w:spacing w:before="0" w:after="0" w:line="280" w:lineRule="exact"/>
        <w:ind w:left="20" w:right="40" w:firstLine="660"/>
      </w:pPr>
      <w:r>
        <w:rPr>
          <w:lang w:val="ru-RU" w:eastAsia="ru-RU" w:bidi="ru-RU"/>
          <w:w w:val="100"/>
          <w:spacing w:val="0"/>
          <w:color w:val="000000"/>
          <w:position w:val="0"/>
        </w:rPr>
        <w:t>С учетом изложенного, на основе всестороннего исследования, оценки фактических обстоятельств и доказательств по делу в их совокупности и взаимосвязи Комиссия приходит к выводу о признании жалобы необоснованной.</w:t>
      </w:r>
    </w:p>
    <w:p>
      <w:pPr>
        <w:pStyle w:val="Style23"/>
        <w:widowControl w:val="0"/>
        <w:keepNext w:val="0"/>
        <w:keepLines w:val="0"/>
        <w:shd w:val="clear" w:color="auto" w:fill="auto"/>
        <w:bidi w:val="0"/>
        <w:jc w:val="both"/>
        <w:spacing w:before="0" w:after="0" w:line="280" w:lineRule="exact"/>
        <w:ind w:left="20" w:right="40" w:firstLine="660"/>
      </w:pPr>
      <w:r>
        <w:rPr>
          <w:lang w:val="ru-RU" w:eastAsia="ru-RU" w:bidi="ru-RU"/>
          <w:w w:val="100"/>
          <w:spacing w:val="0"/>
          <w:color w:val="000000"/>
          <w:position w:val="0"/>
        </w:rPr>
        <w:t xml:space="preserve">Комиссия, руководствуясь </w:t>
      </w:r>
      <w:r>
        <w:rPr>
          <w:rStyle w:val="CharStyle38"/>
        </w:rPr>
        <w:t>статьями 99</w:t>
      </w:r>
      <w:r>
        <w:rPr>
          <w:lang w:val="ru-RU" w:eastAsia="ru-RU" w:bidi="ru-RU"/>
          <w:w w:val="100"/>
          <w:spacing w:val="0"/>
          <w:color w:val="000000"/>
          <w:position w:val="0"/>
        </w:rPr>
        <w:t xml:space="preserve">. </w:t>
      </w:r>
      <w:r>
        <w:rPr>
          <w:rStyle w:val="CharStyle38"/>
        </w:rPr>
        <w:t>106</w:t>
      </w:r>
      <w:r>
        <w:rPr>
          <w:lang w:val="ru-RU" w:eastAsia="ru-RU" w:bidi="ru-RU"/>
          <w:w w:val="100"/>
          <w:spacing w:val="0"/>
          <w:color w:val="000000"/>
          <w:position w:val="0"/>
        </w:rPr>
        <w:t xml:space="preserve"> Закона о контрактной системе и </w:t>
      </w:r>
      <w:r>
        <w:rPr>
          <w:rStyle w:val="CharStyle38"/>
        </w:rPr>
        <w:t>приказом</w:t>
      </w:r>
      <w:r>
        <w:rPr>
          <w:lang w:val="ru-RU" w:eastAsia="ru-RU" w:bidi="ru-RU"/>
          <w:w w:val="100"/>
          <w:spacing w:val="0"/>
          <w:color w:val="000000"/>
          <w:position w:val="0"/>
        </w:rPr>
        <w:t xml:space="preserve">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br w:type="page"/>
      </w:r>
    </w:p>
    <w:p>
      <w:pPr>
        <w:pStyle w:val="Style23"/>
        <w:widowControl w:val="0"/>
        <w:keepNext w:val="0"/>
        <w:keepLines w:val="0"/>
        <w:shd w:val="clear" w:color="auto" w:fill="auto"/>
        <w:bidi w:val="0"/>
        <w:jc w:val="left"/>
        <w:spacing w:before="0" w:after="0" w:line="230" w:lineRule="exact"/>
        <w:ind w:left="4560" w:right="0" w:firstLine="0"/>
      </w:pPr>
      <w:r>
        <w:rPr>
          <w:lang w:val="ru-RU" w:eastAsia="ru-RU" w:bidi="ru-RU"/>
          <w:w w:val="100"/>
          <w:spacing w:val="0"/>
          <w:color w:val="000000"/>
          <w:position w:val="0"/>
        </w:rPr>
        <w:t>РЕШИЛА:</w:t>
      </w:r>
    </w:p>
    <w:p>
      <w:pPr>
        <w:pStyle w:val="Style23"/>
        <w:numPr>
          <w:ilvl w:val="0"/>
          <w:numId w:val="15"/>
        </w:numPr>
        <w:tabs>
          <w:tab w:leader="none" w:pos="1263" w:val="left"/>
        </w:tabs>
        <w:widowControl w:val="0"/>
        <w:keepNext w:val="0"/>
        <w:keepLines w:val="0"/>
        <w:shd w:val="clear" w:color="auto" w:fill="auto"/>
        <w:bidi w:val="0"/>
        <w:jc w:val="both"/>
        <w:spacing w:before="0" w:after="0" w:line="289" w:lineRule="exact"/>
        <w:ind w:left="680" w:right="0" w:firstLine="0"/>
      </w:pPr>
      <w:r>
        <w:rPr>
          <w:lang w:val="ru-RU" w:eastAsia="ru-RU" w:bidi="ru-RU"/>
          <w:w w:val="100"/>
          <w:spacing w:val="0"/>
          <w:color w:val="000000"/>
          <w:position w:val="0"/>
        </w:rPr>
        <w:t>Признать жалобу ООО «ЭЛИТСПЕЦСТРОЙ» необоснованной.</w:t>
      </w:r>
    </w:p>
    <w:p>
      <w:pPr>
        <w:pStyle w:val="Style23"/>
        <w:numPr>
          <w:ilvl w:val="0"/>
          <w:numId w:val="15"/>
        </w:numPr>
        <w:tabs>
          <w:tab w:leader="none" w:pos="1263" w:val="left"/>
        </w:tabs>
        <w:widowControl w:val="0"/>
        <w:keepNext w:val="0"/>
        <w:keepLines w:val="0"/>
        <w:shd w:val="clear" w:color="auto" w:fill="auto"/>
        <w:bidi w:val="0"/>
        <w:jc w:val="left"/>
        <w:spacing w:before="0" w:after="0" w:line="289" w:lineRule="exact"/>
        <w:ind w:left="0" w:right="240" w:firstLine="680"/>
        <w:sectPr>
          <w:pgSz w:w="11909" w:h="16838"/>
          <w:pgMar w:top="2486" w:left="1088" w:right="1065" w:bottom="1687" w:header="0" w:footer="3" w:gutter="0"/>
          <w:rtlGutter w:val="0"/>
          <w:cols w:space="720"/>
          <w:noEndnote/>
          <w:docGrid w:linePitch="360"/>
        </w:sectPr>
      </w:pPr>
      <w:r>
        <w:rPr>
          <w:lang w:val="ru-RU" w:eastAsia="ru-RU" w:bidi="ru-RU"/>
          <w:w w:val="100"/>
          <w:spacing w:val="0"/>
          <w:color w:val="000000"/>
          <w:position w:val="0"/>
        </w:rPr>
        <w:t>В соответствии со статьи 106 Закона о контрактной системе направить настоящее решение сторонам.</w:t>
      </w:r>
    </w:p>
    <w:p>
      <w:pPr>
        <w:framePr w:h="2862" w:wrap="none" w:vAnchor="text" w:hAnchor="margin" w:x="4402"/>
        <w:widowControl w:val="0"/>
        <w:jc w:val="center"/>
        <w:rPr>
          <w:sz w:val="2"/>
          <w:szCs w:val="2"/>
        </w:rPr>
      </w:pPr>
      <w:r>
        <w:pict>
          <v:shape id="_x0000_s1046" type="#_x0000_t75" style="width:136pt;height:143pt;">
            <v:imagedata r:id="rId26" r:href="rId27"/>
          </v:shape>
        </w:pict>
      </w:r>
    </w:p>
    <w:p>
      <w:pPr>
        <w:pStyle w:val="Style23"/>
        <w:framePr w:w="2056" w:h="1929" w:wrap="none" w:vAnchor="text" w:hAnchor="margin" w:x="7234" w:y="591"/>
        <w:widowControl w:val="0"/>
        <w:keepNext w:val="0"/>
        <w:keepLines w:val="0"/>
        <w:shd w:val="clear" w:color="auto" w:fill="auto"/>
        <w:bidi w:val="0"/>
        <w:jc w:val="left"/>
        <w:spacing w:before="0" w:after="566" w:line="210" w:lineRule="exact"/>
        <w:ind w:left="100" w:right="0" w:firstLine="0"/>
      </w:pPr>
      <w:r>
        <w:rPr>
          <w:rStyle w:val="CharStyle40"/>
        </w:rPr>
        <w:t>М.М. Халмурзиев</w:t>
      </w:r>
    </w:p>
    <w:p>
      <w:pPr>
        <w:pStyle w:val="Style23"/>
        <w:framePr w:w="2056" w:h="1929" w:wrap="none" w:vAnchor="text" w:hAnchor="margin" w:x="7234" w:y="591"/>
        <w:widowControl w:val="0"/>
        <w:keepNext w:val="0"/>
        <w:keepLines w:val="0"/>
        <w:shd w:val="clear" w:color="auto" w:fill="auto"/>
        <w:bidi w:val="0"/>
        <w:jc w:val="left"/>
        <w:spacing w:before="0" w:after="562" w:line="210" w:lineRule="exact"/>
        <w:ind w:left="100" w:right="0" w:firstLine="0"/>
      </w:pPr>
      <w:r>
        <w:rPr>
          <w:rStyle w:val="CharStyle40"/>
        </w:rPr>
        <w:t>А.А. Аушев</w:t>
      </w:r>
    </w:p>
    <w:p>
      <w:pPr>
        <w:pStyle w:val="Style23"/>
        <w:framePr w:w="2056" w:h="1929" w:wrap="none" w:vAnchor="text" w:hAnchor="margin" w:x="7234" w:y="591"/>
        <w:widowControl w:val="0"/>
        <w:keepNext w:val="0"/>
        <w:keepLines w:val="0"/>
        <w:shd w:val="clear" w:color="auto" w:fill="auto"/>
        <w:bidi w:val="0"/>
        <w:jc w:val="left"/>
        <w:spacing w:before="0" w:after="0" w:line="210" w:lineRule="exact"/>
        <w:ind w:left="100" w:right="0" w:firstLine="0"/>
      </w:pPr>
      <w:r>
        <w:rPr>
          <w:rStyle w:val="CharStyle40"/>
        </w:rPr>
        <w:t>К.Х. Бекбузаров</w:t>
      </w:r>
    </w:p>
    <w:p>
      <w:pPr>
        <w:pStyle w:val="Style23"/>
        <w:framePr w:w="2755" w:h="226" w:wrap="none" w:vAnchor="text" w:hAnchor="margin" w:x="594" w:y="606"/>
        <w:widowControl w:val="0"/>
        <w:keepNext w:val="0"/>
        <w:keepLines w:val="0"/>
        <w:shd w:val="clear" w:color="auto" w:fill="auto"/>
        <w:bidi w:val="0"/>
        <w:jc w:val="left"/>
        <w:spacing w:before="0" w:after="0" w:line="210" w:lineRule="exact"/>
        <w:ind w:left="100" w:right="0" w:firstLine="0"/>
      </w:pPr>
      <w:r>
        <w:rPr>
          <w:rStyle w:val="CharStyle40"/>
        </w:rPr>
        <w:t>Председатель Комиссии:</w:t>
      </w:r>
    </w:p>
    <w:p>
      <w:pPr>
        <w:pStyle w:val="Style23"/>
        <w:framePr w:w="1983" w:h="210" w:wrap="none" w:vAnchor="text" w:hAnchor="margin" w:x="594" w:y="1463"/>
        <w:widowControl w:val="0"/>
        <w:keepNext w:val="0"/>
        <w:keepLines w:val="0"/>
        <w:shd w:val="clear" w:color="auto" w:fill="auto"/>
        <w:bidi w:val="0"/>
        <w:jc w:val="left"/>
        <w:spacing w:before="0" w:after="0" w:line="210" w:lineRule="exact"/>
        <w:ind w:left="100" w:right="0" w:firstLine="0"/>
      </w:pPr>
      <w:r>
        <w:rPr>
          <w:rStyle w:val="CharStyle4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94" w:lineRule="exact"/>
      </w:pPr>
    </w:p>
    <w:p>
      <w:pPr>
        <w:widowControl w:val="0"/>
        <w:rPr>
          <w:sz w:val="2"/>
          <w:szCs w:val="2"/>
        </w:rPr>
        <w:sectPr>
          <w:type w:val="continuous"/>
          <w:pgSz w:w="11909" w:h="16838"/>
          <w:pgMar w:top="864" w:left="1065" w:right="1065" w:bottom="864" w:header="0" w:footer="3" w:gutter="0"/>
          <w:rtlGutter w:val="0"/>
          <w:cols w:space="720"/>
          <w:noEndnote/>
          <w:docGrid w:linePitch="360"/>
        </w:sectPr>
      </w:pPr>
    </w:p>
    <w:p>
      <w:pPr>
        <w:pStyle w:val="Style8"/>
        <w:widowControl w:val="0"/>
        <w:keepNext w:val="0"/>
        <w:keepLines w:val="0"/>
        <w:shd w:val="clear" w:color="auto" w:fill="auto"/>
        <w:bidi w:val="0"/>
        <w:jc w:val="both"/>
        <w:spacing w:before="0" w:after="0" w:line="212" w:lineRule="exact"/>
        <w:ind w:left="0" w:right="0" w:firstLine="66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8"/>
        <w:widowControl w:val="0"/>
        <w:keepNext w:val="0"/>
        <w:keepLines w:val="0"/>
        <w:shd w:val="clear" w:color="auto" w:fill="auto"/>
        <w:bidi w:val="0"/>
        <w:jc w:val="both"/>
        <w:spacing w:before="0" w:after="0" w:line="212" w:lineRule="exact"/>
        <w:ind w:left="0" w:right="0" w:firstLine="66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9" w:h="16838"/>
      <w:pgMar w:top="2520" w:left="1097" w:right="1269" w:bottom="172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51.35pt;margin-top:744.6pt;width:42.45pt;height:7.9pt;z-index:-188744062;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65.7pt;margin-top:745.3pt;width:42.65pt;height:7.9pt;z-index:-188744061;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58.25pt;margin-top:777.35pt;width:42.45pt;height:8.15pt;z-index:-188744060;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5" type="#_x0000_t202" style="position:absolute;margin-left:51.35pt;margin-top:744.6pt;width:42.45pt;height:7.9pt;z-index:-188744057;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6" type="#_x0000_t202" style="position:absolute;margin-left:62.75pt;margin-top:745.5pt;width:42.65pt;height:7.9pt;z-index:-188744056;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8" type="#_x0000_t202" style="position:absolute;margin-left:65.7pt;margin-top:745.3pt;width:42.65pt;height:7.9pt;z-index:-18874405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2" type="#_x0000_t202" style="position:absolute;margin-left:55.3pt;margin-top:784.75pt;width:42.65pt;height:7.9pt;z-index:-188744050;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3" type="#_x0000_t202" style="position:absolute;margin-left:57.85pt;margin-top:789.5pt;width:42.45pt;height:7.9pt;z-index:-188744049;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er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5" type="#_x0000_t202" style="position:absolute;margin-left:57.9pt;margin-top:762.65pt;width:42.45pt;height:7.9pt;z-index:-188744047;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2022-670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87.2pt;margin-top:53.5pt;width:5.4pt;height:8.35pt;z-index:-18874406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03.8pt;margin-top:52.25pt;width:4.75pt;height:8.6pt;z-index:-18874406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287.2pt;margin-top:53.5pt;width:5.4pt;height:8.35pt;z-index:-188744059;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301.35pt;margin-top:53.75pt;width:5.2pt;height:8.6pt;z-index:-188744058;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7" type="#_x0000_t202" style="position:absolute;margin-left:303.8pt;margin-top:52.25pt;width:4.75pt;height:8.6pt;z-index:-188744055;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header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9" type="#_x0000_t202" style="position:absolute;margin-left:306.7pt;margin-top:45.6pt;width:1.15pt;height:3.85pt;z-index:-18874405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39"/>
                  </w:rPr>
                  <w:t>I</w:t>
                </w:r>
              </w:p>
            </w:txbxContent>
          </v:textbox>
          <w10:wrap anchorx="page" anchory="page"/>
        </v:shape>
      </w:pict>
    </w:r>
    <w:r>
      <w:pict>
        <v:shape id="_x0000_s1040" type="#_x0000_t202" style="position:absolute;margin-left:288.9pt;margin-top:97.5pt;width:10.15pt;height:8.6pt;z-index:-188744052;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lang w:val="en-US" w:eastAsia="en-US" w:bidi="en-US"/>
                    </w:rPr>
                    <w:t>#</w:t>
                  </w:r>
                </w:fldSimple>
              </w:p>
            </w:txbxContent>
          </v:textbox>
          <w10:wrap anchorx="page" anchory="page"/>
        </v:shape>
      </w:pict>
    </w:r>
  </w:p>
</w:hdr>
</file>

<file path=word/header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1" type="#_x0000_t202" style="position:absolute;margin-left:296.2pt;margin-top:99.05pt;width:5.2pt;height:8.35pt;z-index:-188744051;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hdr>
</file>

<file path=word/header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4" type="#_x0000_t202" style="position:absolute;margin-left:293.3pt;margin-top:74.pt;width:4.75pt;height:8.55pt;z-index:-188744048;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6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6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Колонтитул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Колонтитул"/>
    <w:basedOn w:val="CharStyle4"/>
    <w:rPr>
      <w:lang w:val="ru-RU" w:eastAsia="ru-RU" w:bidi="ru-RU"/>
      <w:w w:val="100"/>
      <w:spacing w:val="0"/>
      <w:color w:val="000000"/>
      <w:position w:val="0"/>
    </w:rPr>
  </w:style>
  <w:style w:type="character" w:customStyle="1" w:styleId="CharStyle7">
    <w:name w:val="Основной текст (6) Exact"/>
    <w:basedOn w:val="DefaultParagraphFont"/>
    <w:link w:val="Style6"/>
    <w:rPr>
      <w:b w:val="0"/>
      <w:bCs w:val="0"/>
      <w:i w:val="0"/>
      <w:iCs w:val="0"/>
      <w:u w:val="none"/>
      <w:strike w:val="0"/>
      <w:smallCaps w:val="0"/>
      <w:sz w:val="46"/>
      <w:szCs w:val="46"/>
      <w:rFonts w:ascii="Times New Roman" w:eastAsia="Times New Roman" w:hAnsi="Times New Roman" w:cs="Times New Roman"/>
    </w:rPr>
  </w:style>
  <w:style w:type="character" w:customStyle="1" w:styleId="CharStyle9">
    <w:name w:val="Основной текст (2)_"/>
    <w:basedOn w:val="DefaultParagraphFont"/>
    <w:link w:val="Style8"/>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Заголовок №1_"/>
    <w:basedOn w:val="DefaultParagraphFont"/>
    <w:link w:val="Style12"/>
    <w:rPr>
      <w:lang w:val="en-US" w:eastAsia="en-US" w:bidi="en-US"/>
      <w:b w:val="0"/>
      <w:bCs w:val="0"/>
      <w:i/>
      <w:iCs/>
      <w:u w:val="none"/>
      <w:strike w:val="0"/>
      <w:smallCaps w:val="0"/>
      <w:sz w:val="38"/>
      <w:szCs w:val="38"/>
      <w:rFonts w:ascii="Times New Roman" w:eastAsia="Times New Roman" w:hAnsi="Times New Roman" w:cs="Times New Roman"/>
      <w:spacing w:val="-10"/>
    </w:rPr>
  </w:style>
  <w:style w:type="character" w:customStyle="1" w:styleId="CharStyle14">
    <w:name w:val="Заголовок №1"/>
    <w:basedOn w:val="CharStyle13"/>
    <w:rPr>
      <w:u w:val="single"/>
      <w:w w:val="100"/>
      <w:color w:val="000000"/>
      <w:position w:val="0"/>
    </w:rPr>
  </w:style>
  <w:style w:type="character" w:customStyle="1" w:styleId="CharStyle15">
    <w:name w:val="Заголовок №1 + Не курсив,Интервал 0 pt"/>
    <w:basedOn w:val="CharStyle13"/>
    <w:rPr>
      <w:i/>
      <w:iCs/>
      <w:w w:val="100"/>
      <w:spacing w:val="0"/>
      <w:color w:val="000000"/>
      <w:position w:val="0"/>
    </w:rPr>
  </w:style>
  <w:style w:type="character" w:customStyle="1" w:styleId="CharStyle16">
    <w:name w:val="Заголовок №1 + 11,5 pt,Не курсив,Интервал 0 pt"/>
    <w:basedOn w:val="CharStyle13"/>
    <w:rPr>
      <w:lang w:val="ru-RU" w:eastAsia="ru-RU" w:bidi="ru-RU"/>
      <w:i/>
      <w:iCs/>
      <w:sz w:val="23"/>
      <w:szCs w:val="23"/>
      <w:w w:val="100"/>
      <w:spacing w:val="0"/>
      <w:color w:val="000000"/>
      <w:position w:val="0"/>
    </w:rPr>
  </w:style>
  <w:style w:type="character" w:customStyle="1" w:styleId="CharStyle18">
    <w:name w:val="Основной текст (4)_"/>
    <w:basedOn w:val="DefaultParagraphFont"/>
    <w:link w:val="Style17"/>
    <w:rPr>
      <w:b/>
      <w:bCs/>
      <w:i w:val="0"/>
      <w:iCs w:val="0"/>
      <w:u w:val="none"/>
      <w:strike w:val="0"/>
      <w:smallCaps w:val="0"/>
      <w:sz w:val="40"/>
      <w:szCs w:val="40"/>
    </w:rPr>
  </w:style>
  <w:style w:type="character" w:customStyle="1" w:styleId="CharStyle20">
    <w:name w:val="Основной текст (5)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5) + 14 pt,Полужирный,Масштаб 80%"/>
    <w:basedOn w:val="CharStyle20"/>
    <w:rPr>
      <w:lang w:val="ru-RU" w:eastAsia="ru-RU" w:bidi="ru-RU"/>
      <w:b/>
      <w:bCs/>
      <w:sz w:val="28"/>
      <w:szCs w:val="28"/>
      <w:w w:val="80"/>
      <w:spacing w:val="0"/>
      <w:color w:val="000000"/>
      <w:position w:val="0"/>
    </w:rPr>
  </w:style>
  <w:style w:type="character" w:customStyle="1" w:styleId="CharStyle22">
    <w:name w:val="Основной текст (5)"/>
    <w:basedOn w:val="CharStyle20"/>
    <w:rPr>
      <w:lang w:val="en-US" w:eastAsia="en-US" w:bidi="en-US"/>
      <w:sz w:val="24"/>
      <w:szCs w:val="24"/>
      <w:w w:val="100"/>
      <w:spacing w:val="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Колонтитул + 12 pt"/>
    <w:basedOn w:val="CharStyle4"/>
    <w:rPr>
      <w:lang w:val="ru-RU" w:eastAsia="ru-RU" w:bidi="ru-RU"/>
      <w:sz w:val="24"/>
      <w:szCs w:val="24"/>
      <w:w w:val="100"/>
      <w:spacing w:val="0"/>
      <w:color w:val="000000"/>
      <w:position w:val="0"/>
    </w:rPr>
  </w:style>
  <w:style w:type="character" w:customStyle="1" w:styleId="CharStyle26">
    <w:name w:val="Основной текст"/>
    <w:basedOn w:val="CharStyle24"/>
    <w:rPr>
      <w:lang w:val="ru-RU" w:eastAsia="ru-RU" w:bidi="ru-RU"/>
      <w:w w:val="100"/>
      <w:spacing w:val="0"/>
      <w:color w:val="000000"/>
      <w:position w:val="0"/>
    </w:rPr>
  </w:style>
  <w:style w:type="character" w:customStyle="1" w:styleId="CharStyle27">
    <w:name w:val="Основной текст + 8,5 pt"/>
    <w:basedOn w:val="CharStyle24"/>
    <w:rPr>
      <w:lang w:val="ru-RU" w:eastAsia="ru-RU" w:bidi="ru-RU"/>
      <w:sz w:val="17"/>
      <w:szCs w:val="17"/>
      <w:w w:val="100"/>
      <w:spacing w:val="0"/>
      <w:color w:val="000000"/>
      <w:position w:val="0"/>
    </w:rPr>
  </w:style>
  <w:style w:type="character" w:customStyle="1" w:styleId="CharStyle28">
    <w:name w:val="Основной текст + Palatino Linotype,4,5 pt,Курсив"/>
    <w:basedOn w:val="CharStyle24"/>
    <w:rPr>
      <w:lang w:val="en-US" w:eastAsia="en-US" w:bidi="en-US"/>
      <w:i/>
      <w:iCs/>
      <w:sz w:val="9"/>
      <w:szCs w:val="9"/>
      <w:rFonts w:ascii="Palatino Linotype" w:eastAsia="Palatino Linotype" w:hAnsi="Palatino Linotype" w:cs="Palatino Linotype"/>
      <w:w w:val="100"/>
      <w:spacing w:val="0"/>
      <w:color w:val="000000"/>
      <w:position w:val="0"/>
    </w:rPr>
  </w:style>
  <w:style w:type="character" w:customStyle="1" w:styleId="CharStyle29">
    <w:name w:val="Основной текст (7) + Не курсив"/>
    <w:basedOn w:val="CharStyle30"/>
    <w:rPr>
      <w:i/>
      <w:iCs/>
    </w:rPr>
  </w:style>
  <w:style w:type="character" w:customStyle="1" w:styleId="CharStyle30">
    <w:name w:val="Основной текст (7)_"/>
    <w:basedOn w:val="DefaultParagraphFont"/>
    <w:link w:val="Style35"/>
    <w:rPr>
      <w:b w:val="0"/>
      <w:bCs w:val="0"/>
      <w:i/>
      <w:iCs/>
      <w:u w:val="none"/>
      <w:strike w:val="0"/>
      <w:smallCaps w:val="0"/>
      <w:sz w:val="23"/>
      <w:szCs w:val="23"/>
      <w:rFonts w:ascii="Times New Roman" w:eastAsia="Times New Roman" w:hAnsi="Times New Roman" w:cs="Times New Roman"/>
    </w:rPr>
  </w:style>
  <w:style w:type="character" w:customStyle="1" w:styleId="CharStyle31">
    <w:name w:val="Основной текст + Полужирный"/>
    <w:basedOn w:val="CharStyle24"/>
    <w:rPr>
      <w:lang w:val="ru-RU" w:eastAsia="ru-RU" w:bidi="ru-RU"/>
      <w:b/>
      <w:bCs/>
      <w:w w:val="100"/>
      <w:spacing w:val="0"/>
      <w:color w:val="000000"/>
      <w:position w:val="0"/>
    </w:rPr>
  </w:style>
  <w:style w:type="character" w:customStyle="1" w:styleId="CharStyle33">
    <w:name w:val="Основной текст (8)_"/>
    <w:basedOn w:val="DefaultParagraphFont"/>
    <w:link w:val="Style32"/>
    <w:rPr>
      <w:b/>
      <w:bCs/>
      <w:i w:val="0"/>
      <w:iCs w:val="0"/>
      <w:u w:val="none"/>
      <w:strike w:val="0"/>
      <w:smallCaps w:val="0"/>
      <w:sz w:val="23"/>
      <w:szCs w:val="23"/>
      <w:rFonts w:ascii="Times New Roman" w:eastAsia="Times New Roman" w:hAnsi="Times New Roman" w:cs="Times New Roman"/>
    </w:rPr>
  </w:style>
  <w:style w:type="character" w:customStyle="1" w:styleId="CharStyle34">
    <w:name w:val="Основной текст (8) + Не полужирный"/>
    <w:basedOn w:val="CharStyle33"/>
    <w:rPr>
      <w:lang w:val="ru-RU" w:eastAsia="ru-RU" w:bidi="ru-RU"/>
      <w:b/>
      <w:bCs/>
      <w:w w:val="100"/>
      <w:spacing w:val="0"/>
      <w:color w:val="000000"/>
      <w:position w:val="0"/>
    </w:rPr>
  </w:style>
  <w:style w:type="character" w:customStyle="1" w:styleId="CharStyle36">
    <w:name w:val="Основной текст (7) + Полужирный"/>
    <w:basedOn w:val="CharStyle30"/>
    <w:rPr>
      <w:lang w:val="ru-RU" w:eastAsia="ru-RU" w:bidi="ru-RU"/>
      <w:b/>
      <w:bCs/>
      <w:w w:val="100"/>
      <w:spacing w:val="0"/>
      <w:color w:val="000000"/>
      <w:position w:val="0"/>
    </w:rPr>
  </w:style>
  <w:style w:type="character" w:customStyle="1" w:styleId="CharStyle37">
    <w:name w:val="Основной текст (7) + Полужирный,Не курсив"/>
    <w:basedOn w:val="CharStyle30"/>
    <w:rPr>
      <w:lang w:val="ru-RU" w:eastAsia="ru-RU" w:bidi="ru-RU"/>
      <w:b/>
      <w:bCs/>
      <w:i/>
      <w:iCs/>
      <w:w w:val="100"/>
      <w:spacing w:val="0"/>
      <w:color w:val="000000"/>
      <w:position w:val="0"/>
    </w:rPr>
  </w:style>
  <w:style w:type="character" w:customStyle="1" w:styleId="CharStyle38">
    <w:name w:val="Основной текст"/>
    <w:basedOn w:val="CharStyle24"/>
    <w:rPr>
      <w:lang w:val="ru-RU" w:eastAsia="ru-RU" w:bidi="ru-RU"/>
      <w:u w:val="single"/>
      <w:w w:val="100"/>
      <w:spacing w:val="0"/>
      <w:color w:val="000000"/>
      <w:position w:val="0"/>
    </w:rPr>
  </w:style>
  <w:style w:type="character" w:customStyle="1" w:styleId="CharStyle39">
    <w:name w:val="Колонтитул + Trebuchet MS,5 pt,Курсив"/>
    <w:basedOn w:val="CharStyle4"/>
    <w:rPr>
      <w:lang w:val="en-US" w:eastAsia="en-US" w:bidi="en-US"/>
      <w:i/>
      <w:iCs/>
      <w:sz w:val="10"/>
      <w:szCs w:val="10"/>
      <w:rFonts w:ascii="Trebuchet MS" w:eastAsia="Trebuchet MS" w:hAnsi="Trebuchet MS" w:cs="Trebuchet MS"/>
      <w:w w:val="100"/>
      <w:spacing w:val="0"/>
      <w:color w:val="000000"/>
      <w:position w:val="0"/>
    </w:rPr>
  </w:style>
  <w:style w:type="character" w:customStyle="1" w:styleId="CharStyle40">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Колонтитул"/>
    <w:basedOn w:val="Normal"/>
    <w:link w:val="CharStyle4"/>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6)"/>
    <w:basedOn w:val="Normal"/>
    <w:link w:val="CharStyle7"/>
    <w:pPr>
      <w:widowControl w:val="0"/>
      <w:shd w:val="clear" w:color="auto" w:fill="FFFFFF"/>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20" w:line="24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120" w:after="180" w:line="203"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180" w:after="180" w:line="0" w:lineRule="exact"/>
    </w:pPr>
    <w:rPr>
      <w:lang w:val="en-US" w:eastAsia="en-US" w:bidi="en-US"/>
      <w:b w:val="0"/>
      <w:bCs w:val="0"/>
      <w:i/>
      <w:iCs/>
      <w:u w:val="none"/>
      <w:strike w:val="0"/>
      <w:smallCaps w:val="0"/>
      <w:sz w:val="38"/>
      <w:szCs w:val="38"/>
      <w:rFonts w:ascii="Times New Roman" w:eastAsia="Times New Roman" w:hAnsi="Times New Roman" w:cs="Times New Roman"/>
      <w:spacing w:val="-10"/>
    </w:rPr>
  </w:style>
  <w:style w:type="paragraph" w:customStyle="1" w:styleId="Style17">
    <w:name w:val="Основной текст (4)"/>
    <w:basedOn w:val="Normal"/>
    <w:link w:val="CharStyle18"/>
    <w:pPr>
      <w:widowControl w:val="0"/>
      <w:shd w:val="clear" w:color="auto" w:fill="FFFFFF"/>
      <w:spacing w:before="480" w:line="0" w:lineRule="exact"/>
    </w:pPr>
    <w:rPr>
      <w:b/>
      <w:bCs/>
      <w:i w:val="0"/>
      <w:iCs w:val="0"/>
      <w:u w:val="none"/>
      <w:strike w:val="0"/>
      <w:smallCaps w:val="0"/>
      <w:sz w:val="40"/>
      <w:szCs w:val="40"/>
    </w:rPr>
  </w:style>
  <w:style w:type="paragraph" w:customStyle="1" w:styleId="Style19">
    <w:name w:val="Основной текст (5)"/>
    <w:basedOn w:val="Normal"/>
    <w:link w:val="CharStyle20"/>
    <w:pPr>
      <w:widowControl w:val="0"/>
      <w:shd w:val="clear" w:color="auto" w:fill="FFFFFF"/>
      <w:spacing w:after="240" w:line="321"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jc w:val="center"/>
      <w:spacing w:after="1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jc w:val="both"/>
      <w:spacing w:line="284" w:lineRule="exact"/>
    </w:pPr>
    <w:rPr>
      <w:b/>
      <w:bCs/>
      <w:i w:val="0"/>
      <w:iCs w:val="0"/>
      <w:u w:val="none"/>
      <w:strike w:val="0"/>
      <w:smallCaps w:val="0"/>
      <w:sz w:val="23"/>
      <w:szCs w:val="23"/>
      <w:rFonts w:ascii="Times New Roman" w:eastAsia="Times New Roman" w:hAnsi="Times New Roman" w:cs="Times New Roman"/>
    </w:rPr>
  </w:style>
  <w:style w:type="paragraph" w:customStyle="1" w:styleId="Style35">
    <w:name w:val="Основной текст (7)"/>
    <w:basedOn w:val="Normal"/>
    <w:link w:val="CharStyle30"/>
    <w:pPr>
      <w:widowControl w:val="0"/>
      <w:shd w:val="clear" w:color="auto" w:fill="FFFFFF"/>
      <w:jc w:val="both"/>
      <w:spacing w:line="262"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header" Target="header5.xml"/><Relationship Id="rId19" Type="http://schemas.openxmlformats.org/officeDocument/2006/relationships/footer" Target="footer6.xml"/><Relationship Id="rId20" Type="http://schemas.openxmlformats.org/officeDocument/2006/relationships/header" Target="head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footer" Target="footer8.xml"/><Relationship Id="rId24" Type="http://schemas.openxmlformats.org/officeDocument/2006/relationships/header" Target="header8.xml"/><Relationship Id="rId25" Type="http://schemas.openxmlformats.org/officeDocument/2006/relationships/footer" Target="footer9.xml"/><Relationship Id="rId26" Type="http://schemas.openxmlformats.org/officeDocument/2006/relationships/image" Target="media/image3.jpeg"/><Relationship Id="rId27" Type="http://schemas.openxmlformats.org/officeDocument/2006/relationships/image" Target="media/image3.jpeg" TargetMode="External"/></Relationships>
</file>