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ne" w:vAnchor="text" w:hAnchor="margin" w:x="1806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1pt;height:33pt;">
            <v:imagedata r:id="rId5" r:href="rId6"/>
          </v:shape>
        </w:pict>
      </w:r>
    </w:p>
    <w:p>
      <w:pPr>
        <w:pStyle w:val="Style6"/>
        <w:framePr w:w="3085" w:h="250" w:wrap="none" w:vAnchor="text" w:hAnchor="margin" w:x="4943" w:y="86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1. ООО «Фирма Квазар»</w:t>
      </w:r>
    </w:p>
    <w:p>
      <w:pPr>
        <w:pStyle w:val="Style8"/>
        <w:framePr w:w="3368" w:h="470" w:wrap="none" w:vAnchor="text" w:hAnchor="margin" w:x="427" w:y="85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0"/>
          <w:b/>
          <w:bCs/>
          <w:spacing w:val="0"/>
        </w:rPr>
        <w:t>ФЕДЕРАЛЬНАЯ АНТИМОНОПОЛЬНАЯ СЛУЖБА</w:t>
      </w:r>
    </w:p>
    <w:p>
      <w:pPr>
        <w:pStyle w:val="Style6"/>
        <w:framePr w:w="5053" w:h="642" w:wrap="none" w:vAnchor="text" w:hAnchor="margin" w:x="4915" w:y="144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0"/>
      </w:pPr>
      <w:r>
        <w:rPr>
          <w:rStyle w:val="CharStyle7"/>
          <w:spacing w:val="0"/>
        </w:rPr>
        <w:t>367000, респ. Дагестан, г. Махачкала, ул. Коркмасова, д. 4, кв. 15</w:t>
      </w:r>
    </w:p>
    <w:p>
      <w:pPr>
        <w:pStyle w:val="Style11"/>
        <w:framePr w:w="1554" w:h="624" w:wrap="none" w:vAnchor="text" w:hAnchor="margin" w:x="1343" w:y="1575"/>
        <w:widowControl w:val="0"/>
        <w:keepNext w:val="0"/>
        <w:keepLines w:val="0"/>
        <w:shd w:val="clear" w:color="auto" w:fill="auto"/>
        <w:bidi w:val="0"/>
        <w:jc w:val="left"/>
        <w:spacing w:before="0" w:after="264" w:line="150" w:lineRule="exact"/>
        <w:ind w:left="100" w:right="0" w:firstLine="0"/>
      </w:pPr>
      <w:r>
        <w:rPr>
          <w:rStyle w:val="CharStyle13"/>
          <w:b/>
          <w:bCs/>
          <w:spacing w:val="20"/>
        </w:rPr>
        <w:t>УПРАВЛЕ</w:t>
      </w:r>
      <w:r>
        <w:rPr>
          <w:rStyle w:val="CharStyle14"/>
          <w:b/>
          <w:bCs/>
          <w:spacing w:val="20"/>
        </w:rPr>
        <w:t>НИЕ</w:t>
      </w:r>
    </w:p>
    <w:p>
      <w:pPr>
        <w:pStyle w:val="Style8"/>
        <w:framePr w:w="1554" w:h="624" w:wrap="none" w:vAnchor="text" w:hAnchor="margin" w:x="1343" w:y="157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40" w:right="0" w:firstLine="0"/>
      </w:pPr>
      <w:r>
        <w:rPr>
          <w:rStyle w:val="CharStyle10"/>
          <w:b/>
          <w:bCs/>
          <w:spacing w:val="0"/>
        </w:rPr>
        <w:t>по г. Москве</w:t>
      </w:r>
    </w:p>
    <w:p>
      <w:pPr>
        <w:pStyle w:val="Style15"/>
        <w:framePr w:w="3915" w:h="883" w:wrap="none" w:vAnchor="text" w:hAnchor="margin" w:x="158" w:y="239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  <w:spacing w:val="0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8"/>
          <w:spacing w:val="0"/>
        </w:rPr>
        <w:t xml:space="preserve">e-mail: </w:t>
      </w:r>
      <w:r>
        <w:fldChar w:fldCharType="begin"/>
      </w:r>
      <w:r>
        <w:rPr>
          <w:rStyle w:val="CharStyle18"/>
        </w:rPr>
        <w:instrText> HYPERLINK "mailto:to77@fas.gov.ru" </w:instrText>
      </w:r>
      <w:r>
        <w:fldChar w:fldCharType="separate"/>
      </w:r>
      <w:r>
        <w:rPr>
          <w:rStyle w:val="Hyperlink"/>
          <w:spacing w:val="0"/>
        </w:rPr>
        <w:t>to77@fas.gov.ru</w:t>
      </w:r>
      <w:r>
        <w:fldChar w:fldCharType="end"/>
      </w:r>
    </w:p>
    <w:p>
      <w:pPr>
        <w:pStyle w:val="Style6"/>
        <w:framePr w:w="3464" w:h="898" w:wrap="none" w:vAnchor="text" w:hAnchor="margin" w:x="4915" w:y="2468"/>
        <w:widowControl w:val="0"/>
        <w:keepNext w:val="0"/>
        <w:keepLines w:val="0"/>
        <w:shd w:val="clear" w:color="auto" w:fill="auto"/>
        <w:bidi w:val="0"/>
        <w:jc w:val="left"/>
        <w:spacing w:before="0" w:after="372" w:line="240" w:lineRule="exact"/>
        <w:ind w:left="100" w:right="0" w:firstLine="0"/>
      </w:pPr>
      <w:r>
        <w:fldChar w:fldCharType="begin"/>
      </w:r>
      <w:r>
        <w:rPr>
          <w:rStyle w:val="CharStyle7"/>
        </w:rPr>
        <w:instrText> HYPERLINK "mailto:hassan.zaynalov@gmail.com"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hassan.zaynalov@gmail.com</w:t>
      </w:r>
      <w:r>
        <w:fldChar w:fldCharType="end"/>
      </w:r>
    </w:p>
    <w:p>
      <w:pPr>
        <w:pStyle w:val="Style6"/>
        <w:framePr w:w="3464" w:h="898" w:wrap="none" w:vAnchor="text" w:hAnchor="margin" w:x="4915" w:y="246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2. ГБУ ТЦСО «Арбат»</w:t>
      </w:r>
    </w:p>
    <w:p>
      <w:pPr>
        <w:pStyle w:val="Style19"/>
        <w:framePr w:w="387" w:h="170" w:wrap="none" w:vAnchor="text" w:hAnchor="margin" w:x="1939" w:y="360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1"/>
          <w:b/>
          <w:bCs/>
        </w:rPr>
        <w:t>№</w:t>
      </w:r>
    </w:p>
    <w:p>
      <w:pPr>
        <w:pStyle w:val="Style6"/>
        <w:framePr w:w="5466" w:h="250" w:wrap="none" w:vAnchor="text" w:hAnchor="margin" w:x="4943" w:y="375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121069, г. Москва, пер. Трубниковский, 21, 1</w:t>
      </w:r>
    </w:p>
    <w:p>
      <w:pPr>
        <w:pStyle w:val="Style15"/>
        <w:framePr w:w="637" w:h="170" w:wrap="none" w:vAnchor="text" w:hAnchor="margin" w:x="-39" w:y="405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7"/>
          <w:spacing w:val="0"/>
        </w:rPr>
        <w:t>На№</w:t>
      </w:r>
    </w:p>
    <w:p>
      <w:pPr>
        <w:pStyle w:val="Style6"/>
        <w:framePr w:w="2326" w:h="264" w:wrap="none" w:vAnchor="text" w:hAnchor="margin" w:x="4915" w:y="439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fldChar w:fldCharType="begin"/>
      </w:r>
      <w:r>
        <w:rPr>
          <w:rStyle w:val="CharStyle7"/>
        </w:rPr>
        <w:instrText> HYPERLINK "mailto:tsco-arbat@mos.ru"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tsco-arbat@mos.ru</w:t>
      </w:r>
      <w:r>
        <w:fldChar w:fldCharType="end"/>
      </w:r>
    </w:p>
    <w:p>
      <w:pPr>
        <w:pStyle w:val="Style22"/>
        <w:framePr w:w="469" w:h="420" w:wrap="none" w:vAnchor="text" w:hAnchor="margin" w:x="-49" w:y="4676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100" w:right="0" w:firstLine="0"/>
      </w:pPr>
      <w:r>
        <w:rPr>
          <w:rStyle w:val="CharStyle24"/>
          <w:b/>
          <w:bCs/>
        </w:rPr>
        <w:t>Г</w:t>
      </w:r>
    </w:p>
    <w:p>
      <w:pPr>
        <w:pStyle w:val="Style25"/>
        <w:framePr w:w="5950" w:h="969" w:wrap="none" w:vAnchor="text" w:hAnchor="margin" w:x="2375" w:y="576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6"/>
          <w:b/>
          <w:bCs/>
          <w:spacing w:val="0"/>
        </w:rPr>
        <w:t>РЕШЕНИЕ по делу № 077/06/106-11670/2022 о нарушении Законодательства о контрактной системе</w:t>
      </w:r>
    </w:p>
    <w:p>
      <w:pPr>
        <w:pStyle w:val="Style25"/>
        <w:framePr w:w="1438" w:h="240" w:wrap="none" w:vAnchor="text" w:hAnchor="margin" w:x="-34" w:y="679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6"/>
          <w:b/>
          <w:bCs/>
          <w:spacing w:val="0"/>
        </w:rPr>
        <w:t>05.08.2022</w:t>
      </w:r>
    </w:p>
    <w:p>
      <w:pPr>
        <w:pStyle w:val="Style25"/>
        <w:framePr w:w="1400" w:h="240" w:wrap="none" w:vAnchor="text" w:hAnchor="margin" w:x="9340" w:y="68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6"/>
          <w:b/>
          <w:bCs/>
          <w:spacing w:val="0"/>
        </w:rPr>
        <w:t>г. Москва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700"/>
      </w:pPr>
      <w:r>
        <w:rPr>
          <w:rStyle w:val="CharStyle7"/>
          <w:spacing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700"/>
      </w:pPr>
      <w:r>
        <w:rPr>
          <w:rStyle w:val="CharStyle7"/>
          <w:spacing w:val="0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rStyle w:val="CharStyle7"/>
          <w:spacing w:val="0"/>
        </w:rPr>
        <w:t>Членов Комиссии: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700"/>
      </w:pPr>
      <w:r>
        <w:rPr>
          <w:rStyle w:val="CharStyle7"/>
          <w:spacing w:val="0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700"/>
      </w:pPr>
      <w:r>
        <w:rPr>
          <w:rStyle w:val="CharStyle7"/>
          <w:spacing w:val="0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20" w:firstLine="700"/>
      </w:pPr>
      <w:r>
        <w:rPr>
          <w:rStyle w:val="CharStyle7"/>
          <w:spacing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rStyle w:val="CharStyle7"/>
          <w:lang w:val="en-US" w:eastAsia="en-US" w:bidi="en-US"/>
          <w:spacing w:val="0"/>
        </w:rPr>
        <w:t>2019-nCoV.,</w:t>
      </w:r>
    </w:p>
    <w:p>
      <w:pPr>
        <w:pStyle w:val="Style6"/>
        <w:framePr w:w="10842" w:h="7669" w:wrap="none" w:vAnchor="text" w:hAnchor="margin" w:x="-73" w:y="7055"/>
        <w:tabs>
          <w:tab w:leader="none" w:pos="79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rStyle w:val="CharStyle7"/>
          <w:spacing w:val="0"/>
        </w:rPr>
        <w:t>при участии представителя ГБУ ТЦСО «Арбат»:</w:t>
        <w:tab/>
        <w:t>Чечулиной И.А. (по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7"/>
          <w:spacing w:val="0"/>
        </w:rPr>
        <w:t>доверенности №17 от 04.08.2022),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120" w:firstLine="700"/>
      </w:pPr>
      <w:r>
        <w:rPr>
          <w:rStyle w:val="CharStyle7"/>
          <w:spacing w:val="0"/>
        </w:rPr>
        <w:t>в отсутствие представителей ООО «Фирма Квазар», о времени и порядке заседания Комиссии Управления уведомленных надлежащим образом письмом Московского УФАС России №ЕИ/40373/22 от 03.08.2022,</w:t>
      </w:r>
    </w:p>
    <w:p>
      <w:pPr>
        <w:pStyle w:val="Style6"/>
        <w:framePr w:w="10842" w:h="7669" w:wrap="none" w:vAnchor="text" w:hAnchor="margin" w:x="-73" w:y="705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20" w:firstLine="700"/>
      </w:pPr>
      <w:r>
        <w:rPr>
          <w:rStyle w:val="CharStyle7"/>
          <w:spacing w:val="0"/>
        </w:rPr>
        <w:t>рассмотрев жалобу ООО «Фирма Квазар» (далее — Заявитель) на действия ГБУ ТЦСО «Арбат» при проведении запроса котировок в электронной форме на право заключения контракта на поставку хозяйственных товаров ( туалетная бумага, бумажные полотенца) для нужд ГБУ ТЦСО «Арбат» (Закупка№ 0373200602922000004), (далее — запрос котировок), в соответствии Федеральным законом от 05.04.2013 №44-</w:t>
      </w:r>
    </w:p>
    <w:p>
      <w:pPr>
        <w:pStyle w:val="Style27"/>
        <w:framePr w:w="1680" w:h="394" w:wrap="none" w:vAnchor="text" w:hAnchor="margin" w:x="380" w:y="1513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000629116208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04" w:left="607" w:right="607" w:bottom="662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312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запроса котировок.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 и сведения, запрашиваемые письмом Московского УФАС России № ЕИ/40373/22 от 03.08.2022, Комиссия Управления установила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котировочной документации в нарушение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а также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котировочной документации установлены следующие требования к поставляемым товарам, в частности:</w:t>
      </w:r>
    </w:p>
    <w:p>
      <w:pPr>
        <w:pStyle w:val="Style6"/>
        <w:tabs>
          <w:tab w:leader="none" w:pos="3922" w:val="left"/>
          <w:tab w:leader="none" w:pos="1072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«Бумага туалетная»:</w:t>
        <w:tab/>
        <w:t>Обоснование дополнительных характеристик:</w:t>
        <w:tab/>
        <w:t>в</w:t>
      </w:r>
    </w:p>
    <w:p>
      <w:pPr>
        <w:pStyle w:val="Style6"/>
        <w:tabs>
          <w:tab w:leader="none" w:pos="56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ктру. Форма выпуска:</w:t>
        <w:tab/>
        <w:t>Рулон. Объем (Единица измерения):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4 000,00 (Упаковка); «Полотенце бумажное»: Форма выпуска: Рулон; Объем (Единица измерения): 60,00 (Упаковка).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 отсутствие конкретного показателя о количестве единиц поставляемого товара (штук) в указанной единице измерения (упаковка) не позволяет сформировать заявку на участие в данной закупке.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  <w:sectPr>
          <w:pgSz w:w="11909" w:h="16838"/>
          <w:pgMar w:top="1264" w:left="583" w:right="583" w:bottom="13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 При этом возражение на жалобу направляется в контрольный орган в сфере закупок не позднее рабочего дня, предшествующего дню рассмотрения жалобы по существу.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согласившись с доводами жалобы представитель Заказчика пояснил, что в техническом задании установлены требования к поставляемым товарам на основании позиций КТРУ, а именно: для товаров «Бумага туалетная» по КТРУ 17.22.11.110</w:t>
        <w:softHyphen/>
        <w:t>00000004 и «Полотенце бумажное» по КТРУ 17.22.11.130-00000006 установлены единица измерения: упаковка и Форма выпуска: Рулон. Также представитель Заказчика пояснил, что расчет начальной (максимальной) цены контракта произведен исходя из нужного количества рулонов, и участники закупки не ограничены в выборе объема упаковок, которые будут представляться к поставке.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ч.4 ст.106 Закона о контрактной системе участник закупки, подав</w:t>
      </w:r>
      <w:r>
        <w:rPr>
          <w:rStyle w:val="CharStyle32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представитель Заявителя не явился, кроме того, в составе жалобы отсутствуют документы и сведения, свидетельствующие о том, каким образом, установленные Заказчиком требования к товарам в техническом задании не позволяют сформировать заявку на участие в данной закупке.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Комиссией Управления установлено, что на участие в данной закупке, согласно протоколу подведения итогов определения поставщика (подрядчика, исполнителя) от 08.08.2022 №ИЗК1 подано 7 заявок, которые соответствую требованиям извещения данной закупки, что свидетельствует об отсутствии ограничения конкуренции и возможности подачи заявки в соответствии с техническим заданием.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 Законом о контрактной системе, Комиссия Управления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39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«Фирма Квазар» на действия ГБУ ТЦСО «Арбат» необоснованной.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ограничения, наложенные на определение поставщика (подрядчика, исполнителя) письмом Московского УФАС России исх. № ЕИ/40373/22 от 03.08.2022.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</w:t>
      </w:r>
    </w:p>
    <w:p>
      <w:pPr>
        <w:pStyle w:val="Style6"/>
        <w:framePr w:h="250" w:vSpace="715" w:wrap="around" w:vAnchor="text" w:hAnchor="margin" w:x="8495" w:y="64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А.А. Кутейников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9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 АПК РФ.</w:t>
      </w:r>
    </w:p>
    <w:p>
      <w:pPr>
        <w:pStyle w:val="Style6"/>
        <w:framePr w:h="240" w:wrap="around" w:vAnchor="text" w:hAnchor="margin" w:x="8759" w:y="6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М.О. Мацнева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8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</w:r>
    </w:p>
    <w:p>
      <w:pPr>
        <w:pStyle w:val="Style6"/>
        <w:framePr w:h="240" w:wrap="notBeside" w:vAnchor="text" w:hAnchor="margin" w:x="9119" w:y="6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7"/>
          <w:spacing w:val="0"/>
        </w:rPr>
        <w:t>Н.А. Узкий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7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pgSz w:w="11909" w:h="16838"/>
      <w:pgMar w:top="1269" w:left="585" w:right="585" w:bottom="1322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.85pt;margin-top:795.4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  <w:b/>
                    <w:bCs/>
                  </w:rPr>
                  <w:t>2022-45195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32.05pt;margin-top:812.5pt;width:56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  <w:b/>
                    <w:bCs/>
                  </w:rPr>
                  <w:t>2022-45195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pt;margin-top:38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5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Колонтитул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9">
    <w:name w:val="Основной текст (2) Exact"/>
    <w:basedOn w:val="DefaultParagraphFont"/>
    <w:link w:val="Style8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10">
    <w:name w:val="Основной текст (2) Exact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3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6"/>
    </w:rPr>
  </w:style>
  <w:style w:type="character" w:customStyle="1" w:styleId="CharStyle13">
    <w:name w:val="Основной текст (3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3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4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17">
    <w:name w:val="Основной текст (4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4) Exact"/>
    <w:basedOn w:val="CharStyle16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0">
    <w:name w:val="Основной текст (5) Exact"/>
    <w:basedOn w:val="DefaultParagraphFont"/>
    <w:link w:val="Style1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1">
    <w:name w:val="Основной текст (5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6) Exact"/>
    <w:basedOn w:val="DefaultParagraphFont"/>
    <w:link w:val="Style22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24">
    <w:name w:val="Основной текст (6) Exact"/>
    <w:basedOn w:val="CharStyle23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6">
    <w:name w:val="Основной текст (7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28">
    <w:name w:val="Штрих-код (2)_"/>
    <w:basedOn w:val="DefaultParagraphFont"/>
    <w:link w:val="Style2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9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1">
    <w:name w:val="Заголовок №1_"/>
    <w:basedOn w:val="DefaultParagraphFont"/>
    <w:link w:val="Style3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"/>
    <w:basedOn w:val="CharStyle2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2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5">
    <w:name w:val="Основной текст (8)_"/>
    <w:basedOn w:val="DefaultParagraphFont"/>
    <w:link w:val="Style3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after="300"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6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25">
    <w:name w:val="Основной текст (7)"/>
    <w:basedOn w:val="Normal"/>
    <w:link w:val="CharStyle33"/>
    <w:pPr>
      <w:widowControl w:val="0"/>
      <w:shd w:val="clear" w:color="auto" w:fill="FFFFFF"/>
      <w:jc w:val="center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Штрих-код (2)"/>
    <w:basedOn w:val="Normal"/>
    <w:link w:val="CharStyle2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spacing w:before="36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