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864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2pt;height:43pt;">
            <v:imagedata r:id="rId5" r:href="rId6"/>
          </v:shape>
        </w:pict>
      </w:r>
    </w:p>
    <w:p>
      <w:pPr>
        <w:pStyle w:val="Style3"/>
        <w:framePr w:h="864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0" w:right="0" w:firstLine="0"/>
      </w:pPr>
      <w:r>
        <w:rPr>
          <w:lang w:val="ru-RU" w:eastAsia="ru-RU" w:bidi="ru-RU"/>
          <w:spacing w:val="0"/>
          <w:color w:val="000000"/>
          <w:position w:val="0"/>
        </w:rPr>
        <w:t>V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131" w:after="0"/>
        <w:ind w:left="0" w:right="0" w:firstLine="0"/>
        <w:sectPr>
          <w:headerReference w:type="default" r:id="rId7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642" w:left="1380" w:right="6996" w:bottom="62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line="142" w:lineRule="exact"/>
        <w:rPr>
          <w:sz w:val="11"/>
          <w:szCs w:val="11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03" w:line="25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Волгоградской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Вот 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to34&lt;g'fas.gov.ru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«Медекс»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Можайское шоссе, д. 29, помещение VI, комната 39, офис 2,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0" w:right="0" w:firstLine="0"/>
        <w:sectPr>
          <w:type w:val="continuous"/>
          <w:pgSz w:w="11909" w:h="16838"/>
          <w:pgMar w:top="657" w:left="1157" w:right="1654" w:bottom="635" w:header="0" w:footer="3" w:gutter="0"/>
          <w:rtlGutter w:val="0"/>
          <w:cols w:num="2" w:space="720" w:equalWidth="0">
            <w:col w:w="3985" w:space="655"/>
            <w:col w:w="4457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121471 </w:t>
      </w:r>
      <w:r>
        <w:fldChar w:fldCharType="begin"/>
      </w:r>
      <w:r>
        <w:rPr>
          <w:color w:val="000000"/>
        </w:rPr>
        <w:instrText> HYPERLINK "mailto:info@me-soft.org"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info@me-soft.org</w:t>
      </w:r>
      <w:r>
        <w:fldChar w:fldCharType="end"/>
      </w:r>
    </w:p>
    <w:p>
      <w:pPr>
        <w:widowControl w:val="0"/>
        <w:spacing w:line="88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="914" w:h="446" w:hSpace="2855" w:wrap="notBeside" w:vAnchor="text" w:hAnchor="text" w:x="5707" w:y="1"/>
        <w:widowControl w:val="0"/>
        <w:rPr>
          <w:sz w:val="2"/>
          <w:szCs w:val="2"/>
        </w:rPr>
      </w:pPr>
      <w:r>
        <w:pict>
          <v:shape id="_x0000_s1028" type="#_x0000_t75" style="width:46pt;height:23pt;">
            <v:imagedata r:id="rId8" r:href="rId9"/>
          </v:shape>
        </w:pict>
      </w:r>
    </w:p>
    <w:p>
      <w:pPr>
        <w:pStyle w:val="Style14"/>
        <w:framePr w:w="2851" w:h="216" w:hSpace="2855" w:wrap="notBeside" w:vAnchor="text" w:hAnchor="text" w:x="2856" w:y="62"/>
        <w:tabs>
          <w:tab w:leader="none" w:pos="2135" w:val="right"/>
          <w:tab w:leader="none" w:pos="2639" w:val="right"/>
          <w:tab w:leader="none" w:pos="2851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</w:pPr>
      <w:r>
        <w:rPr>
          <w:rStyle w:val="CharStyle16"/>
          <w:i/>
          <w:iCs/>
        </w:rPr>
        <w:t>‘W,0t£-O&amp;Z</w:t>
      </w:r>
      <w:r>
        <w:rPr>
          <w:rStyle w:val="CharStyle17"/>
          <w:lang w:val="en-US" w:eastAsia="en-US" w:bidi="en-US"/>
          <w:i w:val="0"/>
          <w:iCs w:val="0"/>
        </w:rPr>
        <w:tab/>
      </w:r>
      <w:r>
        <w:rPr>
          <w:rStyle w:val="CharStyle18"/>
          <w:i w:val="0"/>
          <w:iCs w:val="0"/>
        </w:rPr>
        <w:t>№</w:t>
        <w:tab/>
      </w:r>
      <w:r>
        <w:rPr>
          <w:rStyle w:val="CharStyle16"/>
          <w:lang w:val="ru-RU" w:eastAsia="ru-RU" w:bidi="ru-RU"/>
          <w:i/>
          <w:iCs/>
        </w:rPr>
        <w:t>ох</w:t>
      </w:r>
      <w:r>
        <w:rPr>
          <w:rStyle w:val="CharStyle19"/>
          <w:i w:val="0"/>
          <w:iCs w:val="0"/>
        </w:rPr>
        <w:tab/>
        <w:t>Л</w:t>
      </w:r>
    </w:p>
    <w:p>
      <w:pPr>
        <w:widowControl w:val="0"/>
        <w:rPr>
          <w:sz w:val="2"/>
          <w:szCs w:val="2"/>
        </w:r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 w:line="299" w:lineRule="exact"/>
        <w:ind w:left="4620" w:right="4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ГБУЗ «Волгоградский областной клинический перинатальный центр №2» ул. им. Маршала Василевского, д. 70, Волгоград, 400008 </w:t>
      </w:r>
      <w:r>
        <w:fldChar w:fldCharType="begin"/>
      </w:r>
      <w:r>
        <w:rPr>
          <w:color w:val="000000"/>
        </w:rPr>
        <w:instrText> HYPERLINK "mailto:dogovor.vokpc@mail.ru"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dogovor.vokpc@mail.ru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620" w:right="4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по регулированию контрактной системы в сфере закупок Волгоградской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46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Новороссийская, д. 15,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3" w:line="299" w:lineRule="exact"/>
        <w:ind w:left="4620" w:right="4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Волгоград, 400066 </w:t>
      </w: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goszakaz@volganet.ru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6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«ЭТС»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46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Тестовская, д. 10,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37" w:line="295" w:lineRule="exact"/>
        <w:ind w:left="4620" w:right="4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1"/>
        <w:framePr w:h="230" w:vSpace="418" w:wrap="around" w:vAnchor="text" w:hAnchor="margin" w:x="8146" w:y="122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3"/>
          <w:spacing w:val="0"/>
        </w:rPr>
        <w:t>Волгоград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0" w:right="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034/06/106-810/2022 о нарушении законодательства о контрактной системе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32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8 августа 2022 года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10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Волгоградское У ФАС России, Управление) по контролю за соблюдением законодательства о контрактной системе в составе: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10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10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Субботин А.А. - член Комиссии, главный специалист-эксперт отдела контроля государственных и муниципальных закупок, недобросовестной конкуренции и рекламы;</w:t>
      </w:r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Панчишкина М.П. - член Комиссии, старший государственный инспектор отдела контроля государственных и муниципальных закупок, недобросовестной конкуренции и рекламы,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 участии: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Зуевой Е.Н. - представителя Комитета по регулированию контрактной системы в сфере закупок Волгоградской области на основании доверенности от 08.11.2019 № 13;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Казаковой Ю.И. - представителя ООО «Медекс» на основании доверенности от 05.08.2022 №4,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«Медекс» на действия аукционной комиссии при проведении закупки «Поставка насосов инфузионных шприцевых» (номер извещения 0129200005322001816),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5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УФАС России поступила жалоба ООО «Медекс» вх. № 7039 от 02.08.2022 на действия аукционной комиссии при проведении закупки «Поставка насосов инфузионных шприцевых» (номер извещения 0129200005322001816).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пришла к следующим выводам.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15.07.2022 было размещено извещение о проведении закупки «Поставка насосов инфузионных шприцевых» (номер извещения 0129200005322001816). Начальная (максимальная) цена контракта - 4 720 716,57 рублей.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аукционной комиссией нарушены положения Закона о контрактной системе путем неправомерного допуска заявок, так как участниками закупки в указанных заявках была предоставлена недостоверная информация.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пп. «а» п. 1 ч. 5 ст. 49 Закона 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п.п. 1 - 8 ч. 12 ст. 48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п. 1 ч. 12 ст. 48 Закона о контрактной системе заявка на участие в закупке подлежит отклонению в случае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п.п. 2 и 3 ч. 6 ст. 43 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доводам жалобы участниками закупки с идентификационными номерами заявок №4 и № 2 предложены к поставке изделия медицинского назначения, которые по совокупности всех значений показателей не отвечают требованиям, установленным в Приложение к извещению «ОПИСАНИЕ ОБЪЕКТА ЗАКУПКИ. Поставка насосов инфузионных шприцевых». Следовательно, в документах, представленных участником аукциона в электронной форме, содержатся недостоверные сведения в отношении конкретных значений показателей, что должно являться основанием для отклонения заявки на участие в соответствии с п. 8 ч. 12 ст. 48 Закона № 44-ФЗ.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4 ст. 38 323-ФЗ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власти, и медицинских изделий, зарегистрированных в Российской Федерации в соответствии с международными договорами и актами, составляющими право Евразийского экономического союза.</w:t>
      </w:r>
    </w:p>
    <w:p>
      <w:pPr>
        <w:pStyle w:val="Style11"/>
        <w:tabs>
          <w:tab w:leader="none" w:pos="209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«Правила государственной регистрации медицинских изделий», утвержденные постановлением Правительства Российской Федерации от 27 декабря 2012 года №</w:t>
        <w:tab/>
        <w:t>1416, устанавливают порядок государственной регистрации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медицинских изделий, подлежащих обращению на территории Российской Федерации.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подпункту «г» пункта 10 настоящих Правил для государственной регистрации медицинского изделия (за исключением медицинских изделий, включенных в перечень) представляется в том числе эксплуатационная документация производителя (изготовителя) на медицинское изделие, в том числе инструкция по применению или руководство по эксплуатации медицинского изделия, данные документы являются неотъемлемой частью регистрационного досье на медицинское изделие.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пунктом 4 настоящих Правил "эксплуатационная документация производителя (изготовителя)" - документы, предназначенные для ознакомления потребителя с конструкцией медицинского изделия, регламентирующие условия и правила эксплуатации (использование по назначению, техническое обслуживание, текущий ремонт, хранение и транспортировка), гарантированные производителем (изготовителем) значения основных параметров, характеристик (свойств) медицинского изделия, гарантийные обязательства, а также сведения о его утилизации или уничтожении.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39 Правил государственной регистрации внесение изменений в документы, указанные в подпунктах "в" и "г" пункта 10 настоящих Правил (за исключением случаев, указанных в подпункте "г" пункта 37 настоящих Правил), осуществляется по результатам экспертизы качества, эффективности и безопасности медицинского изделия, проведенной в порядке, аналогичном порядку проведения экспертизы качества, эффективности и безопасности медицинского изделия в целях его государственной регистрации в соответствии с пунктом 21 настоящих Правил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указал, что на этапе рассмотрения заявок на участие в закупке, информации и документов, направленных оператором электронной площадки, члены комиссии по осуществлению закупок, должны были провести проверку не только наличия и действительности регистрационного удостоверения на медицинское изделие, предложенного к поставке участником закупки, но и сведений в отношении технических и функциональных характеристик (потребительских свойств) и иных показателей товара, которые отражены в эксплуатационной документации на медицинское изделие.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 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предусмотренном нормативными правовыми актами.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протоколу подведения итогов электронного аукциона № 0129200005322001816-1-1 от 29.07.2022 аукционная комиссия рассмотрела заявки на участие в аукционе в порядке, установленном ст. 67 Закона о контрактной системе и приняла решение допустить к участию в аукционе и признать участниками аукциона участников закупки, подавших заявки со следующими идентификационными номерами: 1, 2, 4.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Аукционная комиссия, рассмотрев первые и вторые части заявок участников закупки, установила, что в заявках содержатся все документы и сведения, предусмотренные п. 28 Раздела 2. «Информационная карта электронного аукциона» документации об электронном аукционе.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указывает на нарушение п. 8 ч. 12 ст. 48 Закона о контрактной системе, отмечая, что заявка на участие в закупке подлежит отклонению в случае выявления недостоверной информации, содержащейся в заявке на участие в закупке.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установила следующее.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numPr>
          <w:ilvl w:val="0"/>
          <w:numId w:val="3"/>
        </w:numPr>
        <w:tabs>
          <w:tab w:leader="none" w:pos="7378" w:val="left"/>
          <w:tab w:leader="none" w:pos="949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</w:t>
        <w:tab/>
        <w:t>в извещении</w:t>
        <w:tab/>
        <w:t>об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осуществлении закупки;</w:t>
      </w:r>
    </w:p>
    <w:p>
      <w:pPr>
        <w:pStyle w:val="Style11"/>
        <w:numPr>
          <w:ilvl w:val="0"/>
          <w:numId w:val="3"/>
        </w:numPr>
        <w:tabs>
          <w:tab w:leader="none" w:pos="7378" w:val="left"/>
          <w:tab w:leader="none" w:pos="949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</w:t>
        <w:tab/>
        <w:t>в извещении</w:t>
        <w:tab/>
        <w:t>об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осуществлении закупки;</w:t>
      </w:r>
    </w:p>
    <w:p>
      <w:pPr>
        <w:pStyle w:val="Style11"/>
        <w:numPr>
          <w:ilvl w:val="0"/>
          <w:numId w:val="3"/>
        </w:numPr>
        <w:tabs>
          <w:tab w:leader="none" w:pos="7378" w:val="left"/>
          <w:tab w:leader="none" w:pos="949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несоответствия участника закупки требованиям,</w:t>
        <w:tab/>
        <w:t>установленным</w:t>
        <w:tab/>
        <w:t>в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предусмотренных частью 6 статьи 45 настоящего Федерального закона;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rStyle w:val="CharStyle23"/>
        </w:rPr>
        <w:t xml:space="preserve"> выявления недостоверной информации, содержащейся в заявке на участие в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>закупке;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Протоколом подведения итогов электронного аукциона № 0129200005322001816-1-1 от 29.07.2022 заявки участников с идентификационными номерами 2 и 4 признаны соответствующими.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Предоставленное п. 8 ч. 12 ст. 48 Закона о контрактной системе Уполномоченному учреждению право отклонить поданную заявку в случае обнаружения в ней недостоверных сведений свидетельствует о том, что располагать такой информацией комиссия должна непосредственно на момент принятия соответствующего решения, причем располагать именно неопровержимыми и однозначными доказательствами такой недостоверности.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Закон о контрактной системе не обязывает аукционную комиссию по рассмотрению заявок делать запросы производителям, обращаться к источникам информации о характеристиках товара в сети «Интернет». Кроме того, информация, размещенная в информационно-телекоммуникационной сети «Интернет», может являться неактуальной. Данная позиция изложена в определении Верховного Суда Российской Федерации от 17.09.2018 № 309-КГ18-14017 по делу № А60-38386/2017.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Представленные документы и информация не позволили аукционной Комиссии отклонить заявки участников с идентификационными номерами 2 и 4 ввиду отсутствия сведений о недостоверности информации, содержащейся в заявках на участие в закупке.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вышеизложенного, заявки участников закупки обосновано были признаны соответствующими требованиям документации об электронном аукционе.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Следует также отметить, что действующее гражданское законодательство Российской Федерации исходит из принципа добросовестности участников гражданских отношений.</w:t>
      </w:r>
      <w:r>
        <w:br w:type="page"/>
      </w:r>
    </w:p>
    <w:p>
      <w:pPr>
        <w:pStyle w:val="Style11"/>
        <w:tabs>
          <w:tab w:leader="none" w:pos="94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4 ст. 67 Закона о контрактной системе участник электронного аукциона не допускается к участию в нем в случае предоставления недостоверной информации. Заявителем не было представлено доказательств того, что на момент рассмотрения заявок, аукционная комиссия обладала информацией о наличии недостоверных сведений в составе заявок. Следовательно,</w:t>
        <w:tab/>
        <w:t>в действиях</w:t>
      </w:r>
    </w:p>
    <w:p>
      <w:pPr>
        <w:pStyle w:val="Style11"/>
        <w:tabs>
          <w:tab w:leader="none" w:pos="6163" w:val="left"/>
          <w:tab w:leader="none" w:pos="94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аукционной комиссии нарушения норм Закона</w:t>
        <w:tab/>
        <w:t>о контрактной</w:t>
        <w:tab/>
        <w:t>системе не</w:t>
      </w:r>
    </w:p>
    <w:p>
      <w:pPr>
        <w:pStyle w:val="Style11"/>
        <w:tabs>
          <w:tab w:leader="none" w:pos="6163" w:val="left"/>
          <w:tab w:leader="none" w:pos="94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установлено, довод жалобы не нашел своего</w:t>
        <w:tab/>
        <w:t>подтверждения</w:t>
        <w:tab/>
        <w:t>и является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необоснованным.</w:t>
      </w:r>
    </w:p>
    <w:p>
      <w:pPr>
        <w:pStyle w:val="Style11"/>
        <w:tabs>
          <w:tab w:leader="none" w:pos="6163" w:val="left"/>
          <w:tab w:leader="none" w:pos="946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всего вышеизложенного,</w:t>
        <w:tab/>
        <w:t>руководствуясь</w:t>
        <w:tab/>
        <w:t>главой 6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4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  <w:sectPr>
          <w:type w:val="continuous"/>
          <w:pgSz w:w="11909" w:h="16838"/>
          <w:pgMar w:top="1111" w:left="1198" w:right="1130" w:bottom="89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«Медекс» на действия аукционной комиссии при проведении закупки «Поставка насосов инфузионных шприцевых» (номер извещения 0129200005322001816) необоснованной.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h="1562" w:wrap="around" w:hAnchor="margin" w:x="5860" w:y="5394"/>
        <w:widowControl w:val="0"/>
        <w:jc w:val="center"/>
        <w:rPr>
          <w:sz w:val="2"/>
          <w:szCs w:val="2"/>
        </w:rPr>
      </w:pPr>
      <w:r>
        <w:pict>
          <v:shape id="_x0000_s1029" type="#_x0000_t75" style="width:159pt;height:78pt;">
            <v:imagedata r:id="rId10" r:href="rId11"/>
          </v:shape>
        </w:pic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304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framePr w:w="850" w:h="698" w:wrap="notBeside" w:vAnchor="text" w:hAnchor="margin" w:x="6238" w:y="368"/>
        <w:widowControl w:val="0"/>
        <w:rPr>
          <w:sz w:val="2"/>
          <w:szCs w:val="2"/>
        </w:rPr>
      </w:pPr>
      <w:r>
        <w:pict>
          <v:shape id="_x0000_s1030" type="#_x0000_t75" style="width:43pt;height:35pt;">
            <v:imagedata r:id="rId12" r:href="rId13"/>
          </v:shape>
        </w:pict>
      </w:r>
    </w:p>
    <w:p>
      <w:pPr>
        <w:pStyle w:val="Style24"/>
        <w:framePr w:w="2020" w:h="224" w:wrap="notBeside" w:vAnchor="text" w:hAnchor="margin" w:x="7404" w:y="60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М.П. Панчишкина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5345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left"/>
        <w:spacing w:before="0" w:after="20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Панчишкина М.П.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20" w:right="0" w:firstLine="0"/>
      </w:pPr>
      <w:r>
        <w:rPr>
          <w:rStyle w:val="CharStyle30"/>
        </w:rPr>
        <w:t>(</w:t>
      </w:r>
      <w:r>
        <w:rPr>
          <w:lang w:val="ru-RU" w:eastAsia="ru-RU" w:bidi="ru-RU"/>
          <w:w w:val="100"/>
          <w:spacing w:val="0"/>
          <w:color w:val="000000"/>
          <w:position w:val="0"/>
        </w:rPr>
        <w:t>8442</w:t>
      </w:r>
      <w:r>
        <w:rPr>
          <w:rStyle w:val="CharStyle30"/>
        </w:rPr>
        <w:t xml:space="preserve">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24</w:t>
      </w:r>
      <w:r>
        <w:rPr>
          <w:rStyle w:val="CharStyle3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22</w:t>
      </w:r>
      <w:r>
        <w:rPr>
          <w:rStyle w:val="CharStyle3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64</w:t>
      </w:r>
    </w:p>
    <w:sectPr>
      <w:type w:val="continuous"/>
      <w:pgSz w:w="11909" w:h="16838"/>
      <w:pgMar w:top="2001" w:left="1189" w:right="7748" w:bottom="152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9.15pt;margin-top:44.6pt;width:4.3pt;height:7.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0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2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0"/>
      <w:szCs w:val="10"/>
      <w:rFonts w:ascii="Microsoft Sans Serif" w:eastAsia="Microsoft Sans Serif" w:hAnsi="Microsoft Sans Serif" w:cs="Microsoft Sans Serif"/>
      <w:w w:val="200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character" w:customStyle="1" w:styleId="CharStyle15">
    <w:name w:val="Подпись к картинке_"/>
    <w:basedOn w:val="DefaultParagraphFont"/>
    <w:link w:val="Style14"/>
    <w:rPr>
      <w:lang w:val="en-US" w:eastAsia="en-US" w:bidi="en-US"/>
      <w:b w:val="0"/>
      <w:bCs w:val="0"/>
      <w:i/>
      <w:iCs/>
      <w:u w:val="none"/>
      <w:strike w:val="0"/>
      <w:smallCaps w:val="0"/>
      <w:sz w:val="21"/>
      <w:szCs w:val="21"/>
      <w:rFonts w:ascii="Microsoft Sans Serif" w:eastAsia="Microsoft Sans Serif" w:hAnsi="Microsoft Sans Serif" w:cs="Microsoft Sans Serif"/>
    </w:rPr>
  </w:style>
  <w:style w:type="character" w:customStyle="1" w:styleId="CharStyle16">
    <w:name w:val="Подпись к картинке"/>
    <w:basedOn w:val="CharStyle15"/>
    <w:rPr>
      <w:u w:val="single"/>
      <w:w w:val="100"/>
      <w:spacing w:val="0"/>
      <w:color w:val="000000"/>
      <w:position w:val="0"/>
    </w:rPr>
  </w:style>
  <w:style w:type="character" w:customStyle="1" w:styleId="CharStyle17">
    <w:name w:val="Подпись к картинке + Не курсив"/>
    <w:basedOn w:val="CharStyle15"/>
    <w:rPr>
      <w:lang w:val="1024"/>
      <w:i/>
      <w:iCs/>
      <w:w w:val="100"/>
      <w:spacing w:val="0"/>
      <w:color w:val="000000"/>
      <w:position w:val="0"/>
    </w:rPr>
  </w:style>
  <w:style w:type="character" w:customStyle="1" w:styleId="CharStyle18">
    <w:name w:val="Подпись к картинке + Не курсив"/>
    <w:basedOn w:val="CharStyle15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9">
    <w:name w:val="Подпись к картинке + Не курсив"/>
    <w:basedOn w:val="CharStyle15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21">
    <w:name w:val="Колонтитул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2">
    <w:name w:val="Колонтитул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"/>
    <w:basedOn w:val="CharStyle12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Подпись к картинке (3) Exact"/>
    <w:basedOn w:val="DefaultParagraphFont"/>
    <w:link w:val="Style2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character" w:customStyle="1" w:styleId="CharStyle27">
    <w:name w:val="Основной текст (5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9">
    <w:name w:val="Основной текст (6)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30">
    <w:name w:val="Основной текст (6)"/>
    <w:basedOn w:val="CharStyle29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Подпись к картинке (2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0"/>
      <w:szCs w:val="10"/>
      <w:rFonts w:ascii="Microsoft Sans Serif" w:eastAsia="Microsoft Sans Serif" w:hAnsi="Microsoft Sans Serif" w:cs="Microsoft Sans Serif"/>
      <w:w w:val="200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180" w:line="256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line="20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line="302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1"/>
      <w:szCs w:val="21"/>
      <w:rFonts w:ascii="Microsoft Sans Serif" w:eastAsia="Microsoft Sans Serif" w:hAnsi="Microsoft Sans Serif" w:cs="Microsoft Sans Serif"/>
    </w:rPr>
  </w:style>
  <w:style w:type="paragraph" w:customStyle="1" w:styleId="Style20">
    <w:name w:val="Колонтитул"/>
    <w:basedOn w:val="Normal"/>
    <w:link w:val="CharStyle2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4">
    <w:name w:val="Подпись к картинке (3)"/>
    <w:basedOn w:val="Normal"/>
    <w:link w:val="CharStyle25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FFFFFF"/>
      <w:spacing w:before="5400" w:after="6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8">
    <w:name w:val="Основной текст (6)"/>
    <w:basedOn w:val="Normal"/>
    <w:link w:val="CharStyle29"/>
    <w:pPr>
      <w:widowControl w:val="0"/>
      <w:shd w:val="clear" w:color="auto" w:fill="FFFFFF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