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5"/>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7"/>
        </w:rPr>
        <w:t>V</w:t>
      </w:r>
    </w:p>
    <w:p>
      <w:pPr>
        <w:widowControl w:val="0"/>
        <w:rPr>
          <w:sz w:val="2"/>
          <w:szCs w:val="2"/>
        </w:rPr>
      </w:pPr>
    </w:p>
    <w:p>
      <w:pPr>
        <w:pStyle w:val="Style3"/>
        <w:framePr w:w="3510" w:h="245" w:wrap="around" w:hAnchor="margin" w:x="4718" w:y="1163"/>
        <w:widowControl w:val="0"/>
        <w:keepNext w:val="0"/>
        <w:keepLines w:val="0"/>
        <w:shd w:val="clear" w:color="auto" w:fill="auto"/>
        <w:bidi w:val="0"/>
        <w:jc w:val="left"/>
        <w:spacing w:before="0" w:after="0" w:line="240" w:lineRule="exact"/>
        <w:ind w:left="100" w:right="0" w:firstLine="0"/>
      </w:pPr>
      <w:r>
        <w:rPr>
          <w:rStyle w:val="CharStyle4"/>
          <w:spacing w:val="0"/>
        </w:rPr>
        <w:t>ФГБУ ФНКЦ ФМБА России</w:t>
      </w:r>
    </w:p>
    <w:p>
      <w:pPr>
        <w:pStyle w:val="Style11"/>
        <w:widowControl w:val="0"/>
        <w:keepNext w:val="0"/>
        <w:keepLines w:val="0"/>
        <w:shd w:val="clear" w:color="auto" w:fill="auto"/>
        <w:bidi w:val="0"/>
        <w:spacing w:before="0" w:after="0"/>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106" w:left="1300" w:right="7434" w:bottom="356" w:header="0" w:footer="3" w:gutter="0"/>
          <w:rtlGutter w:val="0"/>
          <w:cols w:space="720"/>
          <w:noEndnote/>
          <w:docGrid w:linePitch="360"/>
        </w:sectPr>
      </w:pPr>
      <w:r>
        <w:rPr>
          <w:rStyle w:val="CharStyle13"/>
          <w:b/>
          <w:bCs/>
        </w:rPr>
        <w:t>ФЕДЕРАЛЬНАЯ АНТИМОНОПОЛЬНАЯ СЛУЖБА</w:t>
      </w:r>
    </w:p>
    <w:p>
      <w:pPr>
        <w:widowControl w:val="0"/>
        <w:spacing w:line="168" w:lineRule="exact"/>
        <w:rPr>
          <w:sz w:val="14"/>
          <w:szCs w:val="14"/>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framePr w:w="1456" w:h="635" w:wrap="around" w:vAnchor="text" w:hAnchor="margin" w:x="-3897" w:y="57"/>
        <w:widowControl w:val="0"/>
        <w:keepNext w:val="0"/>
        <w:keepLines w:val="0"/>
        <w:shd w:val="clear" w:color="auto" w:fill="auto"/>
        <w:bidi w:val="0"/>
        <w:jc w:val="left"/>
        <w:spacing w:before="0" w:after="260" w:line="170" w:lineRule="exact"/>
        <w:ind w:left="0" w:right="0" w:firstLine="0"/>
      </w:pPr>
      <w:r>
        <w:rPr>
          <w:rStyle w:val="CharStyle15"/>
          <w:b/>
          <w:bCs/>
          <w:spacing w:val="0"/>
        </w:rPr>
        <w:t>УПРАВЛЕ</w:t>
      </w:r>
      <w:r>
        <w:rPr>
          <w:rStyle w:val="CharStyle16"/>
          <w:b/>
          <w:bCs/>
          <w:spacing w:val="0"/>
        </w:rPr>
        <w:t>НИЕ</w:t>
      </w:r>
    </w:p>
    <w:p>
      <w:pPr>
        <w:pStyle w:val="Style11"/>
        <w:framePr w:w="1456" w:h="635" w:wrap="around" w:vAnchor="text" w:hAnchor="margin" w:x="-3897" w:y="57"/>
        <w:widowControl w:val="0"/>
        <w:keepNext w:val="0"/>
        <w:keepLines w:val="0"/>
        <w:shd w:val="clear" w:color="auto" w:fill="auto"/>
        <w:bidi w:val="0"/>
        <w:jc w:val="left"/>
        <w:spacing w:before="0" w:after="0" w:line="170" w:lineRule="exact"/>
        <w:ind w:left="140" w:right="0" w:firstLine="0"/>
      </w:pPr>
      <w:r>
        <w:rPr>
          <w:rStyle w:val="CharStyle15"/>
          <w:b/>
          <w:bCs/>
          <w:spacing w:val="0"/>
        </w:rPr>
        <w:t>по г. Москве</w:t>
      </w:r>
    </w:p>
    <w:p>
      <w:pPr>
        <w:pStyle w:val="Style3"/>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б-р. Ореховый, д. 28, г. Москва, 115682</w:t>
      </w:r>
    </w:p>
    <w:p>
      <w:pPr>
        <w:pStyle w:val="Style3"/>
        <w:widowControl w:val="0"/>
        <w:keepNext w:val="0"/>
        <w:keepLines w:val="0"/>
        <w:shd w:val="clear" w:color="auto" w:fill="auto"/>
        <w:bidi w:val="0"/>
        <w:jc w:val="left"/>
        <w:spacing w:before="0" w:after="0" w:line="260" w:lineRule="exact"/>
        <w:ind w:left="0" w:right="0" w:firstLine="0"/>
        <w:sectPr>
          <w:type w:val="continuous"/>
          <w:pgSz w:w="11909" w:h="16838"/>
          <w:pgMar w:top="121" w:left="6115" w:right="782" w:bottom="371" w:header="0" w:footer="3" w:gutter="0"/>
          <w:rtlGutter w:val="0"/>
          <w:cols w:space="720"/>
          <w:noEndnote/>
          <w:docGrid w:linePitch="360"/>
        </w:sectPr>
      </w:pPr>
      <w:r>
        <w:rPr>
          <w:lang w:val="ru-RU" w:eastAsia="ru-RU" w:bidi="ru-RU"/>
          <w:w w:val="100"/>
          <w:spacing w:val="0"/>
          <w:color w:val="000000"/>
          <w:position w:val="0"/>
        </w:rPr>
        <w:t>ООО ГК «Бастион»</w:t>
      </w:r>
    </w:p>
    <w:p>
      <w:p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spacing w:before="0" w:after="0"/>
        <w:ind w:left="0" w:right="0" w:firstLine="0"/>
      </w:pPr>
      <w:r>
        <w:rPr>
          <w:rStyle w:val="CharStyle20"/>
        </w:rPr>
        <w:t xml:space="preserve">Мясницкий проезд, д.4, стр. 1 107078, г. Москва, тел. (495) 784-75-05, факс (495) 607-49-29 факс (495) 607-42-92, </w:t>
      </w:r>
      <w:r>
        <w:rPr>
          <w:rStyle w:val="CharStyle21"/>
        </w:rPr>
        <w:t>e-mail: to77@,fas.gov.ru</w:t>
      </w:r>
    </w:p>
    <w:p>
      <w:pPr>
        <w:pStyle w:val="Style3"/>
        <w:widowControl w:val="0"/>
        <w:keepNext w:val="0"/>
        <w:keepLines w:val="0"/>
        <w:shd w:val="clear" w:color="auto" w:fill="auto"/>
        <w:bidi w:val="0"/>
        <w:jc w:val="both"/>
        <w:spacing w:before="0" w:after="0" w:line="317" w:lineRule="exact"/>
        <w:ind w:left="0" w:right="0" w:firstLine="0"/>
        <w:sectPr>
          <w:type w:val="continuous"/>
          <w:pgSz w:w="11909" w:h="16838"/>
          <w:pgMar w:top="121" w:left="1032" w:right="1517" w:bottom="371" w:header="0" w:footer="3" w:gutter="0"/>
          <w:rtlGutter w:val="0"/>
          <w:cols w:num="2" w:space="720" w:equalWidth="0">
            <w:col w:w="3715" w:space="1358"/>
            <w:col w:w="4286"/>
          </w:cols>
          <w:noEndnote/>
          <w:docGrid w:linePitch="360"/>
        </w:sectPr>
      </w:pPr>
      <w:r>
        <w:rPr>
          <w:lang w:val="ru-RU" w:eastAsia="ru-RU" w:bidi="ru-RU"/>
          <w:w w:val="100"/>
          <w:spacing w:val="0"/>
          <w:color w:val="000000"/>
          <w:position w:val="0"/>
        </w:rPr>
        <w:t>ул. Советская, д. 75, стр. 1, пом. 6Н, оф. 315, г. Абакан, 655017</w:t>
      </w:r>
    </w:p>
    <w:p>
      <w:pPr>
        <w:widowControl w:val="0"/>
        <w:spacing w:line="230" w:lineRule="exact"/>
        <w:rPr>
          <w:sz w:val="18"/>
          <w:szCs w:val="18"/>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line="170" w:lineRule="exact"/>
        <w:ind w:left="0" w:right="0" w:firstLine="0"/>
        <w:sectPr>
          <w:type w:val="continuous"/>
          <w:pgSz w:w="11909" w:h="16838"/>
          <w:pgMar w:top="121" w:left="2812" w:right="8711" w:bottom="371" w:header="0" w:footer="3" w:gutter="0"/>
          <w:rtlGutter w:val="0"/>
          <w:cols w:space="720"/>
          <w:noEndnote/>
          <w:docGrid w:linePitch="360"/>
        </w:sectPr>
      </w:pPr>
      <w:r>
        <w:rPr>
          <w:rStyle w:val="CharStyle24"/>
        </w:rPr>
        <w:t>№</w:t>
      </w:r>
    </w:p>
    <w:p>
      <w:pPr>
        <w:widowControl w:val="0"/>
        <w:spacing w:before="2" w:after="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framePr w:h="160" w:wrap="around" w:vAnchor="text" w:hAnchor="margin" w:x="1910" w:y="12"/>
        <w:widowControl w:val="0"/>
        <w:keepNext w:val="0"/>
        <w:keepLines w:val="0"/>
        <w:shd w:val="clear" w:color="auto" w:fill="auto"/>
        <w:bidi w:val="0"/>
        <w:jc w:val="left"/>
        <w:spacing w:before="0" w:after="0" w:line="160" w:lineRule="exact"/>
        <w:ind w:left="100" w:right="0" w:firstLine="0"/>
      </w:pPr>
      <w:r>
        <w:rPr>
          <w:rStyle w:val="CharStyle26"/>
          <w:spacing w:val="0"/>
        </w:rPr>
        <w:t>от</w:t>
      </w:r>
    </w:p>
    <w:p>
      <w:pPr>
        <w:pStyle w:val="Style27"/>
        <w:widowControl w:val="0"/>
        <w:keepNext w:val="0"/>
        <w:keepLines w:val="0"/>
        <w:shd w:val="clear" w:color="auto" w:fill="auto"/>
        <w:bidi w:val="0"/>
        <w:jc w:val="left"/>
        <w:spacing w:before="0" w:after="424" w:line="170" w:lineRule="exact"/>
        <w:ind w:left="20" w:right="0" w:firstLine="0"/>
      </w:pPr>
      <w:r>
        <w:rPr>
          <w:rStyle w:val="CharStyle29"/>
        </w:rPr>
        <w:t>На№</w:t>
      </w:r>
    </w:p>
    <w:p>
      <w:pPr>
        <w:pStyle w:val="Style30"/>
        <w:widowControl w:val="0"/>
        <w:keepNext w:val="0"/>
        <w:keepLines w:val="0"/>
        <w:shd w:val="clear" w:color="auto" w:fill="auto"/>
        <w:bidi w:val="0"/>
        <w:jc w:val="left"/>
        <w:spacing w:before="0" w:after="0" w:line="420" w:lineRule="exact"/>
        <w:ind w:left="20" w:right="0" w:firstLine="0"/>
        <w:sectPr>
          <w:type w:val="continuous"/>
          <w:pgSz w:w="11909" w:h="16838"/>
          <w:pgMar w:top="121" w:left="825" w:right="10252" w:bottom="371" w:header="0" w:footer="3" w:gutter="0"/>
          <w:rtlGutter w:val="0"/>
          <w:cols w:space="720"/>
          <w:noEndnote/>
          <w:docGrid w:linePitch="360"/>
        </w:sectPr>
      </w:pPr>
      <w:r>
        <w:rPr>
          <w:rStyle w:val="CharStyle32"/>
          <w:b/>
          <w:bCs/>
        </w:rPr>
        <w:t>Г</w:t>
      </w:r>
    </w:p>
    <w:p>
      <w:pPr>
        <w:widowControl w:val="0"/>
        <w:spacing w:line="240" w:lineRule="exact"/>
        <w:rPr>
          <w:sz w:val="19"/>
          <w:szCs w:val="19"/>
        </w:rPr>
      </w:pPr>
    </w:p>
    <w:p>
      <w:pPr>
        <w:widowControl w:val="0"/>
        <w:spacing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3"/>
        <w:widowControl w:val="0"/>
        <w:keepNext w:val="0"/>
        <w:keepLines w:val="0"/>
        <w:shd w:val="clear" w:color="auto" w:fill="auto"/>
        <w:bidi w:val="0"/>
        <w:jc w:val="left"/>
        <w:spacing w:before="0" w:after="0"/>
        <w:ind w:left="0" w:right="380" w:firstLine="2040"/>
        <w:sectPr>
          <w:type w:val="continuous"/>
          <w:pgSz w:w="11909" w:h="16838"/>
          <w:pgMar w:top="121" w:left="3326" w:right="2452" w:bottom="371" w:header="0" w:footer="3" w:gutter="0"/>
          <w:rtlGutter w:val="0"/>
          <w:cols w:space="720"/>
          <w:noEndnote/>
          <w:docGrid w:linePitch="360"/>
        </w:sectPr>
      </w:pPr>
      <w:r>
        <w:rPr>
          <w:lang w:val="ru-RU" w:eastAsia="ru-RU" w:bidi="ru-RU"/>
          <w:w w:val="100"/>
          <w:spacing w:val="0"/>
          <w:color w:val="000000"/>
          <w:position w:val="0"/>
        </w:rPr>
        <w:t>РЕШЕНИЕ по делу № 077/06/106-11789/2022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3"/>
        <w:framePr w:h="240" w:wrap="around" w:vAnchor="text" w:hAnchor="margin" w:x="8865" w:y="6"/>
        <w:widowControl w:val="0"/>
        <w:keepNext w:val="0"/>
        <w:keepLines w:val="0"/>
        <w:shd w:val="clear" w:color="auto" w:fill="auto"/>
        <w:bidi w:val="0"/>
        <w:jc w:val="left"/>
        <w:spacing w:before="0" w:after="0" w:line="240" w:lineRule="exact"/>
        <w:ind w:left="100" w:right="0" w:firstLine="0"/>
      </w:pPr>
      <w:r>
        <w:rPr>
          <w:rStyle w:val="CharStyle35"/>
          <w:b/>
          <w:bCs/>
          <w:spacing w:val="0"/>
        </w:rPr>
        <w:t>г. Москва</w:t>
      </w:r>
    </w:p>
    <w:p>
      <w:pPr>
        <w:pStyle w:val="Style33"/>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09.08.2022</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Председательствующего — главного государственного инспектора отдела обжалования государственных закупок Е.А. Мироновой,</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3"/>
        <w:tabs>
          <w:tab w:leader="none" w:pos="63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Н.А. Узкого,</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ФГБУ ФНКЦ ФМБА России: И.А. Кузнецова (по дов. №3-211015 от</w:t>
      </w:r>
    </w:p>
    <w:p>
      <w:pPr>
        <w:pStyle w:val="Style3"/>
        <w:numPr>
          <w:ilvl w:val="0"/>
          <w:numId w:val="1"/>
        </w:numPr>
        <w:tabs>
          <w:tab w:leader="none" w:pos="1484"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А.Ю. Гусенко (по дов. №1-220808 от 08.08.2022),</w:t>
      </w:r>
    </w:p>
    <w:p>
      <w:pPr>
        <w:pStyle w:val="Style3"/>
        <w:widowControl w:val="0"/>
        <w:keepNext w:val="0"/>
        <w:keepLines w:val="0"/>
        <w:shd w:val="clear" w:color="auto" w:fill="auto"/>
        <w:bidi w:val="0"/>
        <w:jc w:val="both"/>
        <w:spacing w:before="0" w:after="176" w:line="322" w:lineRule="exact"/>
        <w:ind w:left="20" w:right="20" w:firstLine="700"/>
      </w:pPr>
      <w:r>
        <w:rPr>
          <w:lang w:val="ru-RU" w:eastAsia="ru-RU" w:bidi="ru-RU"/>
          <w:w w:val="100"/>
          <w:spacing w:val="0"/>
          <w:color w:val="000000"/>
          <w:position w:val="0"/>
        </w:rPr>
        <w:t>ООО ГК «Бастион»: О.А. Пословина (по дов. №14 от 17.06.2022), рассмотрев жалобу ООО ГК «Бастион» (далее — Заявитель) на действия ФГБУ ФНКЦ ФМБА России (далее — Заказчик) при проведении электронного аукциона на право заключения государственного контракта на выполнение работ по капитальному ремонту автоматической пожарной сигнализации и системы оповещения и управления эвакуацией в обособленном подразделении ФГБУ ФНКЦ ФМБА России, по адресу: Республика Крым, г. Ялта, ул. Халтурина, 32, корпус №1,</w:t>
      </w:r>
    </w:p>
    <w:p>
      <w:pPr>
        <w:pStyle w:val="Style36"/>
        <w:widowControl w:val="0"/>
        <w:keepNext w:val="0"/>
        <w:keepLines w:val="0"/>
        <w:shd w:val="clear" w:color="auto" w:fill="auto"/>
        <w:bidi w:val="0"/>
        <w:jc w:val="left"/>
        <w:spacing w:before="0" w:after="0" w:line="240" w:lineRule="auto"/>
        <w:ind w:left="0" w:right="0" w:firstLine="0"/>
        <w:sectPr>
          <w:type w:val="continuous"/>
          <w:pgSz w:w="11909" w:h="16838"/>
          <w:pgMar w:top="121" w:left="806" w:right="892" w:bottom="371" w:header="0" w:footer="3" w:gutter="0"/>
          <w:rtlGutter w:val="0"/>
          <w:cols w:space="720"/>
          <w:noEndnote/>
          <w:docGrid w:linePitch="360"/>
        </w:sectPr>
      </w:pPr>
      <w:r>
        <w:rPr>
          <w:w w:val="100"/>
          <w:spacing w:val="0"/>
          <w:color w:val="000000"/>
          <w:position w:val="0"/>
        </w:rPr>
        <w:t>000643236297</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литер «А»; Республика Крым, г. Ялта, ул. Халтурина, 32, корпус №3, литер «В» (Закупка № 0373100037222000879)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w:t>
      </w:r>
      <w:r>
        <w:rPr>
          <w:rStyle w:val="CharStyle38"/>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38"/>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39"/>
        <w:widowControl w:val="0"/>
        <w:keepNext/>
        <w:keepLines/>
        <w:shd w:val="clear" w:color="auto" w:fill="auto"/>
        <w:bidi w:val="0"/>
        <w:spacing w:before="0" w:after="303" w:line="260" w:lineRule="exact"/>
        <w:ind w:left="0" w:right="34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исх. №ЕИ/40813/22 от 05.08.2022.</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Заявитель обжалует действия Заказчика, выразившиеся в утверждении извещения о проведении электронного аукциона в нарушение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w:t>
      </w:r>
      <w:r>
        <w:rPr>
          <w:rStyle w:val="CharStyle38"/>
        </w:rPr>
        <w:t>ши</w:t>
      </w:r>
      <w:r>
        <w:rPr>
          <w:lang w:val="ru-RU" w:eastAsia="ru-RU" w:bidi="ru-RU"/>
          <w:w w:val="100"/>
          <w:spacing w:val="0"/>
          <w:color w:val="000000"/>
          <w:position w:val="0"/>
        </w:rPr>
        <w:t>нам и оборудованию, используемым заказчиком, в соответствии с технической документацией на указанные машины и оборудование</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п.2 ч.1 ст.33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составе жалобы Заявитель указывает, что в п.20 «Условия выполнения работ Подрядчиком» приложения «Описание объекта закупки» установлены следующие неправомерные требования о предоставлении копии списка работников со следующей информацией:</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а) наличие профилактических прививок против дифтерии, столбняка, кори, краснухи, вирусного гепатита В, гриппа (в эпидемиологический сезон);</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б) наличие профилактического медицинского осмотра на туберкулёз, т.е. флюорографическое обследование;</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данные медицинского освидетельствования иностранных граждан (если таковые будут привлекаться Подрядчиком к выполнению работ);</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г) наличие заключения о серологическом исследовании напряженности иммунитета к вирусу кори. (Требования установлены в соответствии с Федеральным законом от 17 сентября 1998 года №157-ФЗ «Об иммунопрофилактике инфекционных болезней», Постановления главного Государственного врача по городу Москве от 11.02.2015г. № И-17-14/5, Санитарные правила и нормы СанПиН 3.3686-21 «Санитарно</w:t>
        <w:softHyphen/>
        <w:t>эпидемиологические требования по профилактике инфекционных болезней», Федеральным законом от 25.07.2002 №115-ФЗ (ред. От 30.12.2015) «О правовом положении иностранных граждан в Российской Федерации» (с изм. и доп.,</w:t>
      </w:r>
    </w:p>
    <w:p>
      <w:pPr>
        <w:pStyle w:val="Style3"/>
        <w:tabs>
          <w:tab w:leader="none" w:pos="4503"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вступ. в силу с 10.01.2016 г.), приказ ДЗМ № 187 от 16.03.2018 г. и приказ ГБУЗ «ГВВ № 2 ДЗМ» №</w:t>
        <w:tab/>
        <w:t>169-ог от 23.03.2018 г. «О проведении</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профилактических дополнительных мероприятий против кори в медицинских организациях государственной системы здравоохранения города Москвы»);</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д) наличие отрицательного ПЦР теста на коронавирус </w:t>
      </w:r>
      <w:r>
        <w:rPr>
          <w:lang w:val="en-US" w:eastAsia="en-US" w:bidi="en-US"/>
          <w:w w:val="100"/>
          <w:spacing w:val="0"/>
          <w:color w:val="000000"/>
          <w:position w:val="0"/>
        </w:rPr>
        <w:t xml:space="preserve">SARS-Cov2 </w:t>
      </w:r>
      <w:r>
        <w:rPr>
          <w:lang w:val="ru-RU" w:eastAsia="ru-RU" w:bidi="ru-RU"/>
          <w:w w:val="100"/>
          <w:spacing w:val="0"/>
          <w:color w:val="000000"/>
          <w:position w:val="0"/>
        </w:rPr>
        <w:t xml:space="preserve">со сроком сдачи теста не позднее чем за 7 календарных дней до начала работ (в том числе при наличии вакцинации от коронавируса </w:t>
      </w:r>
      <w:r>
        <w:rPr>
          <w:lang w:val="en-US" w:eastAsia="en-US" w:bidi="en-US"/>
          <w:w w:val="100"/>
          <w:spacing w:val="0"/>
          <w:color w:val="000000"/>
          <w:position w:val="0"/>
        </w:rPr>
        <w:t xml:space="preserve">SARS-Cov2, </w:t>
      </w:r>
      <w:r>
        <w:rPr>
          <w:rStyle w:val="CharStyle38"/>
        </w:rPr>
        <w:t>ПЦ</w:t>
      </w:r>
      <w:r>
        <w:rPr>
          <w:lang w:val="ru-RU" w:eastAsia="ru-RU" w:bidi="ru-RU"/>
          <w:w w:val="100"/>
          <w:spacing w:val="0"/>
          <w:color w:val="000000"/>
          <w:position w:val="0"/>
        </w:rPr>
        <w:t>Р тест представляется перед допуском к работе на объекте для исключения возможной зараженности вакцинированного);</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е) предоставить медицинское заключение на отсутствие у работников холерного вибриона.</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Так, по мнению Заявителя, данные требования являются избыточными, поскольку не регламентированы законодательством. Таким образом, установление подобным образом требований к Подрядчику является неправомерным и ограничивает количество участников закупки.</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Не согласившись с доводом жалобы представитель Заказчика пояснил, что выполнение работ по капитальному ремонту автоматической пожарной сигнализации и системы оповещения и управления эвакуацией в обособленном подразделении ФГБУ ФНКЦ ФМБА России будет проводиться на объектах, представляемых собой комплекс зданий: поликлиника, медпункты, больница, пансионат, являющиеся действующими медицинскими учреждениями, где проходит лечение и комплекс профилактических мер пациентов с различными заболеваниями. Выделить и оградить доступ к месту проведения работ невозможно. Перемещение персонала подрядчика будет осуществляться по больничным путям перемещения пациентов и персонала.</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Также представитель Заказчика пояснил, что требование о наличии профилактических прививок против дифтерии, столбняка, кори, краснухи, вирусного гепатита В, гриппа (в эпидемиологический сезон) установлено с целью соблюдения санитарно - эпидемиологической благополучия для пациентов и сотрудников лечебного учреждения (ФЗ-157 от 17.09.1998, ФЗ-52 от 30.03.1999, ФЗ-248 от 19.07.2011, приказ №125н от 21.03.2014, постановление № 825 от 15.07.1999, СанПиН 3.3686-21 от 28.01.2021).</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пояснениям представителя Заказчика требование о наличии профилактического медицинского осмотра на туберкулёз, т. е. флюорографическое обследование обусловлено тем, что подлежащие ремонту здания являются бывшими противотуберкулёзными санаториями и установлено на основании следующего.</w:t>
      </w:r>
    </w:p>
    <w:p>
      <w:pPr>
        <w:pStyle w:val="Style3"/>
        <w:tabs>
          <w:tab w:leader="none" w:pos="8871" w:val="left"/>
          <w:tab w:leader="none" w:pos="10201" w:val="righ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В силу ч.4 ст.8 Федерального закона от 18.06.2001</w:t>
        <w:tab/>
        <w:t>№</w:t>
        <w:tab/>
        <w:t>77-ФЗ</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(ред. от 26.05.2021) «О предупреждении распространения туберкулеза в Российской Федерации» в целях выявления туберкулеза периодически проводятся профилактические медицинские осмотры граждан, порядок и сроки проведения которых устанавливаются уполномоченным Правительством Российской Федерации федеральным органом исполнительной власти.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Приложению к порядку и срокам проведения профилактических медицинских осмотров граждан в целях выявления туберкулеза, утвержденным Приказом Министерства здравоохранения Российской Федерации от 21.03.2017 года № 124н, периодичность прохождения флюорографических исследований для российских граждан установлена не реже 1 раза в 2 года.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представитель Заказчика пояснил, что порядок и сроки проведения профилактических медицинских осмотров населения в целях выявления туберкулеза утверждены Постановлением Правительства РФ от 25.12.2001 №892 «О реализации Федерального закона «О предупреждении распространения туберкулеза в РФ».</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Кроме того, в соответствии с ч.1 ст. 24 Федерального закона от 21.11.2011 №323-ФЗ (ред. от 11.06.2022, с изм. от 13.07.2022) «Об основах охраны здоровья граждан в Российской Федерации»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медицинские осмотры. В то же время флюорография делается при обязательном медосмотре.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Также представитель Заказчика пояснил, что требование о наличии медицинского освидетельствования иностранных граждан (если таковые будут привлекаться Подрядчиком к выполнению работ) установлено в соответствии с Федеральным законом от 25.07.2002 №115-ФЗ (ред. от 30.12.2015) «О правовом положении иностранных граждан в Российской Федерации» (с изм. и доп., вступ. В силу с 10.01.2016 г.), а также на основании Приказа Минздрава России от 19.11.2021 № 1079н (ред. от 21.02.2022) «Об утверждении Порядка проведения медицинского освидетельствования, включая проведение химико</w:t>
        <w:softHyphen/>
        <w:t>токсикологических исследований наличия в организме иностранного гражданина или лица без гражданства наркотических средств или психотропных веществ либо новых потенциально опасных психоактивных веществ и их метаболитов, на наличие или отсутствие у иностранного гражданина или лица без гражданства инфекционных заболеваний, представляющих опасность для окружающих, и заболевания, вызываемого вирусом иммунодефицита человека (ВИЧ-инфекции), формы бланка и срока действия медицинского заключения об отсутствии факта употребления наркотических средств или психотропных веществ без назначения врача либо новых потенциально опасных психоактивных веществ, а также формы, описания бланка и срока действия медицинского заключения о наличии (отсутствии) инфекционных заболеваний, представляющих опасность для окружающих» (Зарегистрировано в Минюсте России 30.11.2021 № 66070).</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требование о наличии заключения о серологическом исследовании напряженности иммунитета к вирусу кори установлено на основании следующего.</w:t>
      </w:r>
    </w:p>
    <w:p>
      <w:pPr>
        <w:pStyle w:val="Style3"/>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В силу п.1 ст.10 Федерального закона от 17.09.1998 № 157-ФЗ (ред. от</w:t>
      </w:r>
    </w:p>
    <w:p>
      <w:pPr>
        <w:pStyle w:val="Style3"/>
        <w:numPr>
          <w:ilvl w:val="0"/>
          <w:numId w:val="3"/>
        </w:numPr>
        <w:tabs>
          <w:tab w:leader="none" w:pos="1532"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«Об иммунопрофилактике инфекционных болезней» (далее — Закон об иммунопрофилактике инфекционных болезней) профилактические прививки по эпидемическим показаниям проводятся гражданам при угрозе возникновения инфекционных болезней, перечень которых устанавливает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w:t>
      </w:r>
    </w:p>
    <w:p>
      <w:pPr>
        <w:pStyle w:val="Style3"/>
        <w:tabs>
          <w:tab w:leader="none" w:pos="2764" w:val="left"/>
        </w:tabs>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Согласно п.2</w:t>
        <w:tab/>
        <w:t>ст.10 Закона об иммунопрофилактике инфекционных</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болезней решения о проведении профилактических прививок по эпидемическим показаниям принимают главный государственный санитарный врач Российской Федерации, главные государственные санитарные врачи субъектов Российской Федерации.</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ч.11 Постановления Главного государственного санитарного врача РФ от 28.01.2021 № 4 (ред. от 25.05.2022) «Об утверждении санитарных правил и норм СанПиН 3.3686-21 «Санитарно-эпидемиологические требования по профилактике инфекционных болезней» юридические лица и индивидуальные предприниматели в соответствии с осуществляемой ими деятельностью обязаны разработать и утвердить программу производственного контроля за соблюдением санитарно-эпидемиологических требований и проведением санитарно</w:t>
        <w:softHyphen/>
        <w:t>противоэпидемических (профилактических) мероприятий при выполнении работ и оказании услуг, в том числе посредством проведения лабораторных исследований и испытаний, и обеспечить его выполнение.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Также представитель Заказчика пояснил, что установление требования о наличие отрицательного ПЦР теста на коронавирус </w:t>
      </w:r>
      <w:r>
        <w:rPr>
          <w:lang w:val="en-US" w:eastAsia="en-US" w:bidi="en-US"/>
          <w:w w:val="100"/>
          <w:spacing w:val="0"/>
          <w:color w:val="000000"/>
          <w:position w:val="0"/>
        </w:rPr>
        <w:t xml:space="preserve">SARS-Cov2 </w:t>
      </w:r>
      <w:r>
        <w:rPr>
          <w:lang w:val="ru-RU" w:eastAsia="ru-RU" w:bidi="ru-RU"/>
          <w:w w:val="100"/>
          <w:spacing w:val="0"/>
          <w:color w:val="000000"/>
          <w:position w:val="0"/>
        </w:rPr>
        <w:t xml:space="preserve">со сроком сдачи теста не позднее чем за 7 календарных дней до начала работ (в том числе при наличии вакцинации от коронавируса </w:t>
      </w:r>
      <w:r>
        <w:rPr>
          <w:lang w:val="en-US" w:eastAsia="en-US" w:bidi="en-US"/>
          <w:w w:val="100"/>
          <w:spacing w:val="0"/>
          <w:color w:val="000000"/>
          <w:position w:val="0"/>
        </w:rPr>
        <w:t xml:space="preserve">SARS-Cov2, </w:t>
      </w:r>
      <w:r>
        <w:rPr>
          <w:rStyle w:val="CharStyle38"/>
        </w:rPr>
        <w:t>ПЦ</w:t>
      </w:r>
      <w:r>
        <w:rPr>
          <w:lang w:val="ru-RU" w:eastAsia="ru-RU" w:bidi="ru-RU"/>
          <w:w w:val="100"/>
          <w:spacing w:val="0"/>
          <w:color w:val="000000"/>
          <w:position w:val="0"/>
        </w:rPr>
        <w:t xml:space="preserve">Р тест представляется перед допуском к работе на объекте для исключения возможной зараженности вакцинированного установлено на основании Федерального закона от 17.09.1998 № 157-ФЗ (ред. от 26.05.2021) «Об иммунопрофилактике инфекционных болезней», Федерального закона от 30.03.1999 </w:t>
      </w:r>
      <w:r>
        <w:rPr>
          <w:lang w:val="en-US" w:eastAsia="en-US" w:bidi="en-US"/>
          <w:w w:val="100"/>
          <w:spacing w:val="0"/>
          <w:color w:val="000000"/>
          <w:position w:val="0"/>
        </w:rPr>
        <w:t xml:space="preserve">N </w:t>
      </w:r>
      <w:r>
        <w:rPr>
          <w:lang w:val="ru-RU" w:eastAsia="ru-RU" w:bidi="ru-RU"/>
          <w:w w:val="100"/>
          <w:spacing w:val="0"/>
          <w:color w:val="000000"/>
          <w:position w:val="0"/>
        </w:rPr>
        <w:t>52-ФЗ (ред. От 02.07.2021) «О санитарно-эпидемиологическом благополучии населения» (с изм. и доп., вступ. в силу с 01.01.2022), Указ Главы Республики Крым от 12 июля 2022 года № 156-У «О внесении изменений в Указ Главы Республики Крым от 17 марта 2020 года № 63-У» КОВИД.</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На заседании Комиссии Управления представитель Заказчика пояснил, что установление требования о предоставление медицинского заключения на отсутствие у работников холерного вибриона установлено ввиду того, что Крым относится к первому типу эпидемических проявлений холеры в соответствии с п.5 Постановления Главного государственного санитарного врача РФ от 26 апреля 2022 г. № 14 «О дополнительных мерах по профилактике холеры в Российской Федерации».</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ч.4 ст.105 Закона о контрактной системе обязанность доказывания нарушения Заказчиком своих прав и законных интересов лежит на подателе жалобы, однако, в составе жалобы, а также на заседание Комиссии Управления</w:t>
      </w:r>
    </w:p>
    <w:p>
      <w:pPr>
        <w:pStyle w:val="Style3"/>
        <w:widowControl w:val="0"/>
        <w:keepNext w:val="0"/>
        <w:keepLines w:val="0"/>
        <w:shd w:val="clear" w:color="auto" w:fill="auto"/>
        <w:bidi w:val="0"/>
        <w:jc w:val="both"/>
        <w:spacing w:before="0" w:after="0" w:line="322" w:lineRule="exact"/>
        <w:ind w:left="20" w:right="40" w:firstLine="0"/>
      </w:pPr>
      <w:r>
        <w:rPr>
          <w:lang w:val="ru-RU" w:eastAsia="ru-RU" w:bidi="ru-RU"/>
          <w:w w:val="100"/>
          <w:spacing w:val="0"/>
          <w:color w:val="000000"/>
          <w:position w:val="0"/>
        </w:rPr>
        <w:t>Заявителем не представлено документов и сведений, свидетельствующих о нарушении Заказчиком Закона о контрактной системе, при формировании положений извещения о проведении электронного аукциона, а также ограничение количества участников закупки и невозможности подачи заявки на участие в закупочной процедуре,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3"/>
        <w:widowControl w:val="0"/>
        <w:keepNext w:val="0"/>
        <w:keepLines w:val="0"/>
        <w:shd w:val="clear" w:color="auto" w:fill="auto"/>
        <w:bidi w:val="0"/>
        <w:jc w:val="both"/>
        <w:spacing w:before="0" w:after="0" w:line="322" w:lineRule="exact"/>
        <w:ind w:left="20" w:right="40" w:firstLine="700"/>
      </w:pPr>
      <w:r>
        <w:rPr>
          <w:lang w:val="ru-RU" w:eastAsia="ru-RU" w:bidi="ru-RU"/>
          <w:w w:val="100"/>
          <w:spacing w:val="0"/>
          <w:color w:val="000000"/>
          <w:position w:val="0"/>
        </w:rPr>
        <w:t>Также Заявителем не представлено ни одного доказательства того, что у Заказчика объективно отсутствует необходимость в получении именно того комплекса услуг, которые указаны в извещении о проведении электронного аукциона. В свою очередь, при наличии у Заказчика потребности в получении определенных услуг, вести речь о необоснованном ограничении им количества потенциальных участников размещения закупки не приходится. Доказательств обратного Заявителем Комиссии Управления не представлено.</w:t>
      </w:r>
    </w:p>
    <w:p>
      <w:pPr>
        <w:pStyle w:val="Style3"/>
        <w:widowControl w:val="0"/>
        <w:keepNext w:val="0"/>
        <w:keepLines w:val="0"/>
        <w:shd w:val="clear" w:color="auto" w:fill="auto"/>
        <w:bidi w:val="0"/>
        <w:jc w:val="both"/>
        <w:spacing w:before="0" w:after="0" w:line="322" w:lineRule="exact"/>
        <w:ind w:left="20" w:right="40" w:firstLine="700"/>
      </w:pPr>
      <w:r>
        <w:rPr>
          <w:lang w:val="ru-RU" w:eastAsia="ru-RU" w:bidi="ru-RU"/>
          <w:w w:val="100"/>
          <w:spacing w:val="0"/>
          <w:color w:val="000000"/>
          <w:position w:val="0"/>
        </w:rPr>
        <w:t>Комиссией Управления отмечено, что в соответствии с протоколом подачи ценовых предложений от 08.08.2022 №ЦПА1 на участие в закупочной процедуре подано 3 заявки, что свидетельствует об отсутствии ограничений количества участников закупки.</w:t>
      </w:r>
    </w:p>
    <w:p>
      <w:pPr>
        <w:pStyle w:val="Style3"/>
        <w:widowControl w:val="0"/>
        <w:keepNext w:val="0"/>
        <w:keepLines w:val="0"/>
        <w:shd w:val="clear" w:color="auto" w:fill="auto"/>
        <w:bidi w:val="0"/>
        <w:jc w:val="both"/>
        <w:spacing w:before="0" w:after="0" w:line="322" w:lineRule="exact"/>
        <w:ind w:left="20" w:right="40" w:firstLine="700"/>
      </w:pPr>
      <w:r>
        <w:rPr>
          <w:lang w:val="ru-RU" w:eastAsia="ru-RU" w:bidi="ru-RU"/>
          <w:w w:val="100"/>
          <w:spacing w:val="0"/>
          <w:color w:val="000000"/>
          <w:position w:val="0"/>
        </w:rPr>
        <w:t>На основании вышеизложенного, Комиссия Управления приходит к выводу, что вышеуказанные доводы жалобы Заявителя не нашли своего подтверждения и являются необоснованными.</w:t>
      </w:r>
    </w:p>
    <w:p>
      <w:pPr>
        <w:pStyle w:val="Style3"/>
        <w:widowControl w:val="0"/>
        <w:keepNext w:val="0"/>
        <w:keepLines w:val="0"/>
        <w:shd w:val="clear" w:color="auto" w:fill="auto"/>
        <w:bidi w:val="0"/>
        <w:jc w:val="both"/>
        <w:spacing w:before="0" w:after="349" w:line="322" w:lineRule="exact"/>
        <w:ind w:left="20" w:right="4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9"/>
        <w:widowControl w:val="0"/>
        <w:keepNext/>
        <w:keepLines/>
        <w:shd w:val="clear" w:color="auto" w:fill="auto"/>
        <w:bidi w:val="0"/>
        <w:jc w:val="left"/>
        <w:spacing w:before="0" w:after="599" w:line="260" w:lineRule="exact"/>
        <w:ind w:left="4560" w:right="0" w:firstLine="0"/>
      </w:pPr>
      <w:bookmarkStart w:id="1" w:name="bookmark1"/>
      <w:r>
        <w:rPr>
          <w:lang w:val="ru-RU" w:eastAsia="ru-RU" w:bidi="ru-RU"/>
          <w:w w:val="100"/>
          <w:spacing w:val="0"/>
          <w:color w:val="000000"/>
          <w:position w:val="0"/>
        </w:rPr>
        <w:t>Р Е Ш И Л А:</w:t>
      </w:r>
      <w:bookmarkEnd w:id="1"/>
    </w:p>
    <w:p>
      <w:pPr>
        <w:pStyle w:val="Style3"/>
        <w:numPr>
          <w:ilvl w:val="0"/>
          <w:numId w:val="5"/>
        </w:numPr>
        <w:tabs>
          <w:tab w:leader="none" w:pos="1187" w:val="left"/>
        </w:tabs>
        <w:widowControl w:val="0"/>
        <w:keepNext w:val="0"/>
        <w:keepLines w:val="0"/>
        <w:shd w:val="clear" w:color="auto" w:fill="auto"/>
        <w:bidi w:val="0"/>
        <w:jc w:val="left"/>
        <w:spacing w:before="0" w:after="0" w:line="326" w:lineRule="exact"/>
        <w:ind w:left="20" w:right="40" w:firstLine="860"/>
      </w:pPr>
      <w:r>
        <w:rPr>
          <w:lang w:val="ru-RU" w:eastAsia="ru-RU" w:bidi="ru-RU"/>
          <w:w w:val="100"/>
          <w:spacing w:val="0"/>
          <w:color w:val="000000"/>
          <w:position w:val="0"/>
        </w:rPr>
        <w:t>Признать жалобу ООО ГК «Бастион» на действия ФГБУ ФНКЦ ФМБА России необоснованной.</w:t>
      </w:r>
    </w:p>
    <w:p>
      <w:pPr>
        <w:pStyle w:val="Style3"/>
        <w:widowControl w:val="0"/>
        <w:keepNext w:val="0"/>
        <w:keepLines w:val="0"/>
        <w:shd w:val="clear" w:color="auto" w:fill="auto"/>
        <w:bidi w:val="0"/>
        <w:jc w:val="both"/>
        <w:spacing w:before="0" w:after="300" w:line="322" w:lineRule="exact"/>
        <w:ind w:left="20" w:right="40" w:firstLine="700"/>
      </w:pPr>
      <w:r>
        <w:rPr>
          <w:lang w:val="ru-RU" w:eastAsia="ru-RU" w:bidi="ru-RU"/>
          <w:w w:val="100"/>
          <w:spacing w:val="0"/>
          <w:color w:val="000000"/>
          <w:position w:val="0"/>
        </w:rPr>
        <w:t xml:space="preserve">2. Снять ограничения, наложенные на определение поставщика (подрядчика, исполнителя) письмом Московского </w:t>
      </w:r>
      <w:r>
        <w:rPr>
          <w:rStyle w:val="CharStyle41"/>
        </w:rPr>
        <w:t>УФАС</w:t>
      </w:r>
      <w:r>
        <w:rPr>
          <w:lang w:val="ru-RU" w:eastAsia="ru-RU" w:bidi="ru-RU"/>
          <w:w w:val="100"/>
          <w:spacing w:val="0"/>
          <w:color w:val="000000"/>
          <w:position w:val="0"/>
        </w:rPr>
        <w:t xml:space="preserve"> России исх. №ЕИ/40813/22 от 05.08.2022.</w:t>
      </w:r>
    </w:p>
    <w:p>
      <w:pPr>
        <w:pStyle w:val="Style3"/>
        <w:widowControl w:val="0"/>
        <w:keepNext w:val="0"/>
        <w:keepLines w:val="0"/>
        <w:shd w:val="clear" w:color="auto" w:fill="auto"/>
        <w:bidi w:val="0"/>
        <w:jc w:val="both"/>
        <w:spacing w:before="0" w:after="47" w:line="322" w:lineRule="exact"/>
        <w:ind w:left="20" w:right="4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10172" w:val="right"/>
          <w:tab w:leader="none" w:pos="10191"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Председательствующий</w:t>
        <w:tab/>
        <w:t>Е.А.</w:t>
        <w:tab/>
        <w:t>Миронова</w:t>
      </w:r>
    </w:p>
    <w:p>
      <w:pPr>
        <w:pStyle w:val="Style3"/>
        <w:tabs>
          <w:tab w:leader="none" w:pos="8900" w:val="right"/>
          <w:tab w:leader="none" w:pos="10172"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А.З.</w:t>
        <w:tab/>
        <w:t>Касимова</w:t>
      </w:r>
    </w:p>
    <w:p>
      <w:pPr>
        <w:pStyle w:val="Style3"/>
        <w:widowControl w:val="0"/>
        <w:keepNext w:val="0"/>
        <w:keepLines w:val="0"/>
        <w:shd w:val="clear" w:color="auto" w:fill="auto"/>
        <w:bidi w:val="0"/>
        <w:jc w:val="right"/>
        <w:spacing w:before="0" w:after="907" w:line="638" w:lineRule="exact"/>
        <w:ind w:left="0" w:right="40" w:firstLine="0"/>
      </w:pPr>
      <w:r>
        <w:rPr>
          <w:lang w:val="ru-RU" w:eastAsia="ru-RU" w:bidi="ru-RU"/>
          <w:w w:val="100"/>
          <w:spacing w:val="0"/>
          <w:color w:val="000000"/>
          <w:position w:val="0"/>
        </w:rPr>
        <w:t>Н.А. Узкий</w:t>
      </w:r>
    </w:p>
    <w:p>
      <w:pPr>
        <w:pStyle w:val="Style42"/>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Касимова А.З.</w:t>
      </w:r>
    </w:p>
    <w:sectPr>
      <w:pgSz w:w="11909" w:h="16838"/>
      <w:pgMar w:top="1262" w:left="854" w:right="844" w:bottom="1128"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4pt;margin-top:797.05pt;width:57.1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b/>
                    <w:bCs/>
                  </w:rPr>
                  <w:t>2022-45127</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0.8pt;margin-top:806.pt;width:57.1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b/>
                    <w:bCs/>
                  </w:rPr>
                  <w:t>2022-45127</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4pt;margin-top:38.15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5.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2.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5"/>
    </w:rPr>
  </w:style>
  <w:style w:type="character" w:customStyle="1" w:styleId="CharStyle6">
    <w:name w:val="Подпись к картинке_"/>
    <w:basedOn w:val="DefaultParagraphFont"/>
    <w:link w:val="Style5"/>
    <w:rPr>
      <w:b w:val="0"/>
      <w:bCs w:val="0"/>
      <w:i w:val="0"/>
      <w:iCs w:val="0"/>
      <w:u w:val="none"/>
      <w:strike w:val="0"/>
      <w:smallCaps w:val="0"/>
      <w:sz w:val="12"/>
      <w:szCs w:val="12"/>
      <w:w w:val="200"/>
    </w:rPr>
  </w:style>
  <w:style w:type="character" w:customStyle="1" w:styleId="CharStyle7">
    <w:name w:val="Подпись к картинке"/>
    <w:basedOn w:val="CharStyle6"/>
    <w:rPr>
      <w:lang w:val="ru-RU" w:eastAsia="ru-RU" w:bidi="ru-RU"/>
      <w:rFonts w:ascii="Courier New" w:eastAsia="Courier New" w:hAnsi="Courier New" w:cs="Courier New"/>
      <w:spacing w:val="0"/>
      <w:color w:val="000000"/>
      <w:position w:val="0"/>
    </w:rPr>
  </w:style>
  <w:style w:type="character" w:customStyle="1" w:styleId="CharStyle9">
    <w:name w:val="Колонтитул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2)"/>
    <w:basedOn w:val="CharStyle12"/>
    <w:rPr>
      <w:lang w:val="ru-RU" w:eastAsia="ru-RU" w:bidi="ru-RU"/>
      <w:w w:val="100"/>
      <w:spacing w:val="0"/>
      <w:color w:val="000000"/>
      <w:position w:val="0"/>
    </w:rPr>
  </w:style>
  <w:style w:type="character" w:customStyle="1" w:styleId="CharStyle14">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15">
    <w:name w:val="Основной текст (2) Exact"/>
    <w:basedOn w:val="CharStyle12"/>
    <w:rPr>
      <w:lang w:val="ru-RU" w:eastAsia="ru-RU" w:bidi="ru-RU"/>
      <w:sz w:val="17"/>
      <w:szCs w:val="17"/>
      <w:w w:val="100"/>
      <w:spacing w:val="2"/>
      <w:color w:val="000000"/>
      <w:position w:val="0"/>
    </w:rPr>
  </w:style>
  <w:style w:type="character" w:customStyle="1" w:styleId="CharStyle16">
    <w:name w:val="Основной текст (2) Exact"/>
    <w:basedOn w:val="CharStyle12"/>
    <w:rPr>
      <w:lang w:val="ru-RU" w:eastAsia="ru-RU" w:bidi="ru-RU"/>
      <w:u w:val="single"/>
      <w:sz w:val="17"/>
      <w:szCs w:val="17"/>
      <w:w w:val="100"/>
      <w:spacing w:val="2"/>
      <w:color w:val="000000"/>
      <w:position w:val="0"/>
    </w:rPr>
  </w:style>
  <w:style w:type="character" w:customStyle="1" w:styleId="CharStyle17">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3)_"/>
    <w:basedOn w:val="DefaultParagraphFont"/>
    <w:link w:val="Style18"/>
    <w:rPr>
      <w:b w:val="0"/>
      <w:bCs w:val="0"/>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3)"/>
    <w:basedOn w:val="CharStyle19"/>
    <w:rPr>
      <w:lang w:val="ru-RU" w:eastAsia="ru-RU" w:bidi="ru-RU"/>
      <w:w w:val="100"/>
      <w:spacing w:val="0"/>
      <w:color w:val="000000"/>
      <w:position w:val="0"/>
    </w:rPr>
  </w:style>
  <w:style w:type="character" w:customStyle="1" w:styleId="CharStyle21">
    <w:name w:val="Основной текст (3)"/>
    <w:basedOn w:val="CharStyle19"/>
    <w:rPr>
      <w:lang w:val="en-US" w:eastAsia="en-US" w:bidi="en-US"/>
      <w:u w:val="single"/>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17"/>
      <w:szCs w:val="17"/>
      <w:rFonts w:ascii="Segoe UI" w:eastAsia="Segoe UI" w:hAnsi="Segoe UI" w:cs="Segoe UI"/>
    </w:rPr>
  </w:style>
  <w:style w:type="character" w:customStyle="1" w:styleId="CharStyle24">
    <w:name w:val="Основной текст (4)"/>
    <w:basedOn w:val="CharStyle23"/>
    <w:rPr>
      <w:lang w:val="ru-RU" w:eastAsia="ru-RU" w:bidi="ru-RU"/>
      <w:w w:val="100"/>
      <w:spacing w:val="0"/>
      <w:color w:val="000000"/>
      <w:position w:val="0"/>
    </w:rPr>
  </w:style>
  <w:style w:type="character" w:customStyle="1" w:styleId="CharStyle25">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26">
    <w:name w:val="Основной текст (3) Exact"/>
    <w:basedOn w:val="CharStyle19"/>
    <w:rPr>
      <w:lang w:val="ru-RU" w:eastAsia="ru-RU" w:bidi="ru-RU"/>
      <w:sz w:val="16"/>
      <w:szCs w:val="16"/>
      <w:w w:val="100"/>
      <w:spacing w:val="3"/>
      <w:color w:val="000000"/>
      <w:position w:val="0"/>
    </w:rPr>
  </w:style>
  <w:style w:type="character" w:customStyle="1" w:styleId="CharStyle28">
    <w:name w:val="Основной текст (5)_"/>
    <w:basedOn w:val="DefaultParagraphFont"/>
    <w:link w:val="Style27"/>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9">
    <w:name w:val="Основной текст (5)"/>
    <w:basedOn w:val="CharStyle28"/>
    <w:rPr>
      <w:lang w:val="ru-RU" w:eastAsia="ru-RU" w:bidi="ru-RU"/>
      <w:w w:val="100"/>
      <w:color w:val="000000"/>
      <w:position w:val="0"/>
    </w:rPr>
  </w:style>
  <w:style w:type="character" w:customStyle="1" w:styleId="CharStyle31">
    <w:name w:val="Основной текст (6)_"/>
    <w:basedOn w:val="DefaultParagraphFont"/>
    <w:link w:val="Style30"/>
    <w:rPr>
      <w:b/>
      <w:bCs/>
      <w:i w:val="0"/>
      <w:iCs w:val="0"/>
      <w:u w:val="none"/>
      <w:strike w:val="0"/>
      <w:smallCaps w:val="0"/>
      <w:sz w:val="42"/>
      <w:szCs w:val="42"/>
    </w:rPr>
  </w:style>
  <w:style w:type="character" w:customStyle="1" w:styleId="CharStyle32">
    <w:name w:val="Основной текст (6)"/>
    <w:basedOn w:val="CharStyle31"/>
    <w:rPr>
      <w:lang w:val="ru-RU" w:eastAsia="ru-RU" w:bidi="ru-RU"/>
      <w:rFonts w:ascii="Courier New" w:eastAsia="Courier New" w:hAnsi="Courier New" w:cs="Courier New"/>
      <w:w w:val="100"/>
      <w:spacing w:val="0"/>
      <w:color w:val="000000"/>
      <w:position w:val="0"/>
    </w:rPr>
  </w:style>
  <w:style w:type="character" w:customStyle="1" w:styleId="CharStyle34">
    <w:name w:val="Основной текст (7)_"/>
    <w:basedOn w:val="DefaultParagraphFont"/>
    <w:link w:val="Style33"/>
    <w:rPr>
      <w:b/>
      <w:bCs/>
      <w:i w:val="0"/>
      <w:iCs w:val="0"/>
      <w:u w:val="none"/>
      <w:strike w:val="0"/>
      <w:smallCaps w:val="0"/>
      <w:sz w:val="26"/>
      <w:szCs w:val="26"/>
      <w:rFonts w:ascii="Times New Roman" w:eastAsia="Times New Roman" w:hAnsi="Times New Roman" w:cs="Times New Roman"/>
    </w:rPr>
  </w:style>
  <w:style w:type="character" w:customStyle="1" w:styleId="CharStyle35">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7">
    <w:name w:val="Штрих-код (2)_"/>
    <w:basedOn w:val="DefaultParagraphFont"/>
    <w:link w:val="Style36"/>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8">
    <w:name w:val="Основной текст"/>
    <w:basedOn w:val="CharStyle17"/>
    <w:rPr>
      <w:lang w:val="ru-RU" w:eastAsia="ru-RU" w:bidi="ru-RU"/>
      <w:u w:val="single"/>
      <w:w w:val="100"/>
      <w:spacing w:val="0"/>
      <w:color w:val="000000"/>
      <w:position w:val="0"/>
    </w:rPr>
  </w:style>
  <w:style w:type="character" w:customStyle="1" w:styleId="CharStyle40">
    <w:name w:val="Заголовок №1_"/>
    <w:basedOn w:val="DefaultParagraphFont"/>
    <w:link w:val="Style39"/>
    <w:rPr>
      <w:b/>
      <w:bCs/>
      <w:i w:val="0"/>
      <w:iCs w:val="0"/>
      <w:u w:val="none"/>
      <w:strike w:val="0"/>
      <w:smallCaps w:val="0"/>
      <w:sz w:val="26"/>
      <w:szCs w:val="26"/>
      <w:rFonts w:ascii="Times New Roman" w:eastAsia="Times New Roman" w:hAnsi="Times New Roman" w:cs="Times New Roman"/>
    </w:rPr>
  </w:style>
  <w:style w:type="character" w:customStyle="1" w:styleId="CharStyle41">
    <w:name w:val="Основной текст"/>
    <w:basedOn w:val="CharStyle17"/>
    <w:rPr>
      <w:lang w:val="ru-RU" w:eastAsia="ru-RU" w:bidi="ru-RU"/>
      <w:w w:val="100"/>
      <w:spacing w:val="0"/>
      <w:color w:val="000000"/>
      <w:position w:val="0"/>
    </w:rPr>
  </w:style>
  <w:style w:type="character" w:customStyle="1" w:styleId="CharStyle43">
    <w:name w:val="Основной текст (8)_"/>
    <w:basedOn w:val="DefaultParagraphFont"/>
    <w:link w:val="Style42"/>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17"/>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Подпись к картинке"/>
    <w:basedOn w:val="Normal"/>
    <w:link w:val="CharStyle6"/>
    <w:pPr>
      <w:widowControl w:val="0"/>
      <w:shd w:val="clear" w:color="auto" w:fill="FFFFFF"/>
      <w:spacing w:line="0" w:lineRule="exact"/>
    </w:pPr>
    <w:rPr>
      <w:b w:val="0"/>
      <w:bCs w:val="0"/>
      <w:i w:val="0"/>
      <w:iCs w:val="0"/>
      <w:u w:val="none"/>
      <w:strike w:val="0"/>
      <w:smallCaps w:val="0"/>
      <w:sz w:val="12"/>
      <w:szCs w:val="12"/>
      <w:w w:val="200"/>
    </w:rPr>
  </w:style>
  <w:style w:type="paragraph" w:customStyle="1" w:styleId="Style8">
    <w:name w:val="Колонтитул"/>
    <w:basedOn w:val="Normal"/>
    <w:link w:val="CharStyle9"/>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center"/>
      <w:spacing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spacing w:line="0" w:lineRule="exact"/>
    </w:pPr>
    <w:rPr>
      <w:b w:val="0"/>
      <w:bCs w:val="0"/>
      <w:i w:val="0"/>
      <w:iCs w:val="0"/>
      <w:u w:val="none"/>
      <w:strike w:val="0"/>
      <w:smallCaps w:val="0"/>
      <w:sz w:val="17"/>
      <w:szCs w:val="17"/>
      <w:rFonts w:ascii="Segoe UI" w:eastAsia="Segoe UI" w:hAnsi="Segoe UI" w:cs="Segoe UI"/>
    </w:rPr>
  </w:style>
  <w:style w:type="paragraph" w:customStyle="1" w:styleId="Style27">
    <w:name w:val="Основной текст (5)"/>
    <w:basedOn w:val="Normal"/>
    <w:link w:val="CharStyle28"/>
    <w:pPr>
      <w:widowControl w:val="0"/>
      <w:shd w:val="clear" w:color="auto" w:fill="FFFFFF"/>
      <w:spacing w:after="540"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30">
    <w:name w:val="Основной текст (6)"/>
    <w:basedOn w:val="Normal"/>
    <w:link w:val="CharStyle31"/>
    <w:pPr>
      <w:widowControl w:val="0"/>
      <w:shd w:val="clear" w:color="auto" w:fill="FFFFFF"/>
      <w:spacing w:before="540" w:line="0" w:lineRule="exact"/>
    </w:pPr>
    <w:rPr>
      <w:b/>
      <w:bCs/>
      <w:i w:val="0"/>
      <w:iCs w:val="0"/>
      <w:u w:val="none"/>
      <w:strike w:val="0"/>
      <w:smallCaps w:val="0"/>
      <w:sz w:val="42"/>
      <w:szCs w:val="42"/>
    </w:rPr>
  </w:style>
  <w:style w:type="paragraph" w:customStyle="1" w:styleId="Style33">
    <w:name w:val="Основной текст (7)"/>
    <w:basedOn w:val="Normal"/>
    <w:link w:val="CharStyle34"/>
    <w:pPr>
      <w:widowControl w:val="0"/>
      <w:shd w:val="clear" w:color="auto" w:fill="FFFFFF"/>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6">
    <w:name w:val="Штрих-код (2)"/>
    <w:basedOn w:val="Normal"/>
    <w:link w:val="CharStyle37"/>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9">
    <w:name w:val="Заголовок №1"/>
    <w:basedOn w:val="Normal"/>
    <w:link w:val="CharStyle4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2">
    <w:name w:val="Основной текст (8)"/>
    <w:basedOn w:val="Normal"/>
    <w:link w:val="CharStyle43"/>
    <w:pPr>
      <w:widowControl w:val="0"/>
      <w:shd w:val="clear" w:color="auto" w:fill="FFFFFF"/>
      <w:jc w:val="both"/>
      <w:spacing w:before="54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Апелляционное определение Верховного суда Республики Коми от 19.03.2018 по делу N 33-1582/2018Требование: О взыскании компенсации морального вреда.Обстоятельства: Истец ссылается на отсутствие ответа уполномоченного органа на свое обращение по вопросу проведения проверки медицинского учреждения.Решение: Требование оставлено без удовлетворения.</dc:title>
  <dc:subject/>
  <dc:creator/>
  <cp:keywords/>
</cp:coreProperties>
</file>