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5298" w:y="-705"/>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3"/>
        <w:widowControl w:val="0"/>
        <w:keepNext w:val="0"/>
        <w:keepLines w:val="0"/>
        <w:shd w:val="clear" w:color="auto" w:fill="auto"/>
        <w:bidi w:val="0"/>
        <w:jc w:val="left"/>
        <w:spacing w:before="0" w:after="0"/>
        <w:ind w:left="20" w:right="260" w:firstLine="0"/>
      </w:pPr>
      <w:r>
        <w:rPr>
          <w:lang w:val="ru-RU" w:eastAsia="ru-RU" w:bidi="ru-RU"/>
          <w:w w:val="100"/>
          <w:spacing w:val="0"/>
          <w:color w:val="000000"/>
          <w:position w:val="0"/>
        </w:rPr>
        <w:t>ОКУ «Управление по размещению госзаказа Липецкой области»</w:t>
      </w:r>
    </w:p>
    <w:p>
      <w:pPr>
        <w:pStyle w:val="Style3"/>
        <w:widowControl w:val="0"/>
        <w:keepNext w:val="0"/>
        <w:keepLines w:val="0"/>
        <w:shd w:val="clear" w:color="auto" w:fill="auto"/>
        <w:bidi w:val="0"/>
        <w:jc w:val="left"/>
        <w:spacing w:before="0" w:after="300"/>
        <w:ind w:left="20" w:right="260" w:firstLine="0"/>
      </w:pPr>
      <w:r>
        <w:rPr>
          <w:lang w:val="ru-RU" w:eastAsia="ru-RU" w:bidi="ru-RU"/>
          <w:w w:val="100"/>
          <w:spacing w:val="0"/>
          <w:color w:val="000000"/>
          <w:position w:val="0"/>
        </w:rPr>
        <w:t xml:space="preserve">398050, Липецкая обл., г. Липецк, пл. Плеханова, д. 1 </w:t>
      </w:r>
      <w:r>
        <w:fldChar w:fldCharType="begin"/>
      </w:r>
      <w:r>
        <w:rPr>
          <w:color w:val="000000"/>
        </w:rPr>
        <w:instrText> HYPERLINK "mailto:reception@dgo.lipetsk.ru" </w:instrText>
      </w:r>
      <w:r>
        <w:fldChar w:fldCharType="separate"/>
      </w:r>
      <w:r>
        <w:rPr>
          <w:rStyle w:val="Hyperlink"/>
          <w:lang w:val="en-US" w:eastAsia="en-US" w:bidi="en-US"/>
          <w:w w:val="100"/>
          <w:spacing w:val="0"/>
          <w:position w:val="0"/>
        </w:rPr>
        <w:t>reception@dgo.lipetsk.ru</w:t>
      </w:r>
      <w:r>
        <w:fldChar w:fldCharType="end"/>
      </w:r>
    </w:p>
    <w:p>
      <w:pPr>
        <w:pStyle w:val="Style3"/>
        <w:widowControl w:val="0"/>
        <w:keepNext w:val="0"/>
        <w:keepLines w:val="0"/>
        <w:shd w:val="clear" w:color="auto" w:fill="auto"/>
        <w:bidi w:val="0"/>
        <w:jc w:val="left"/>
        <w:spacing w:before="0" w:after="304"/>
        <w:ind w:left="20" w:right="260" w:firstLine="0"/>
      </w:pPr>
      <w:r>
        <w:rPr>
          <w:lang w:val="ru-RU" w:eastAsia="ru-RU" w:bidi="ru-RU"/>
          <w:w w:val="100"/>
          <w:spacing w:val="0"/>
          <w:color w:val="000000"/>
          <w:position w:val="0"/>
        </w:rPr>
        <w:t xml:space="preserve">ГОСУДАРСТВЕННОЕ УЧРЕЖДЕНИЕ ЗДРАВООХРАНЕНИЯ "ЕЛЕЦКАЯ ГОРОДСКАЯ БОЛЬНИЦА № 1 ИМ. Н. А. СЕМАШКО" </w:t>
      </w:r>
      <w:r>
        <w:fldChar w:fldCharType="begin"/>
      </w:r>
      <w:r>
        <w:rPr>
          <w:color w:val="000000"/>
        </w:rPr>
        <w:instrText> HYPERLINK "mailto:snab20002@bk.ru" </w:instrText>
      </w:r>
      <w:r>
        <w:fldChar w:fldCharType="separate"/>
      </w:r>
      <w:r>
        <w:rPr>
          <w:rStyle w:val="Hyperlink"/>
          <w:lang w:val="en-US" w:eastAsia="en-US" w:bidi="en-US"/>
          <w:w w:val="100"/>
          <w:spacing w:val="0"/>
          <w:position w:val="0"/>
        </w:rPr>
        <w:t>snab20002@bk.ru</w:t>
      </w:r>
      <w:r>
        <w:fldChar w:fldCharType="end"/>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"Эндовидео Группа"</w:t>
      </w:r>
    </w:p>
    <w:p>
      <w:pPr>
        <w:pStyle w:val="Style3"/>
        <w:widowControl w:val="0"/>
        <w:keepNext w:val="0"/>
        <w:keepLines w:val="0"/>
        <w:shd w:val="clear" w:color="auto" w:fill="auto"/>
        <w:bidi w:val="0"/>
        <w:jc w:val="left"/>
        <w:spacing w:before="0" w:after="0" w:line="317" w:lineRule="exact"/>
        <w:ind w:left="20" w:right="260" w:firstLine="0"/>
        <w:sectPr>
          <w:footerReference w:type="default" r:id="rId7"/>
          <w:footerReference w:type="first" r:id="rId8"/>
          <w:titlePg/>
          <w:footnotePr>
            <w:pos w:val="pageBottom"/>
            <w:numFmt w:val="decimal"/>
            <w:numRestart w:val="continuous"/>
          </w:footnotePr>
          <w:type w:val="continuous"/>
          <w:pgSz w:w="11909" w:h="16838"/>
          <w:pgMar w:top="1291" w:left="6151" w:right="794" w:bottom="691" w:header="0" w:footer="3" w:gutter="0"/>
          <w:rtlGutter w:val="0"/>
          <w:cols w:space="720"/>
          <w:noEndnote/>
          <w:docGrid w:linePitch="360"/>
        </w:sectPr>
      </w:pPr>
      <w:r>
        <w:rPr>
          <w:lang w:val="ru-RU" w:eastAsia="ru-RU" w:bidi="ru-RU"/>
          <w:w w:val="100"/>
          <w:spacing w:val="0"/>
          <w:color w:val="000000"/>
          <w:position w:val="0"/>
        </w:rPr>
        <w:t xml:space="preserve">394042, воронежская обл., г. Воронеж, ул. Димитрова, д. 27. литера Б, оф. 1 </w:t>
      </w:r>
      <w:r>
        <w:fldChar w:fldCharType="begin"/>
      </w:r>
      <w:r>
        <w:rPr>
          <w:color w:val="000000"/>
        </w:rPr>
        <w:instrText> HYPERLINK "mailto:info@2320085.ru" </w:instrText>
      </w:r>
      <w:r>
        <w:fldChar w:fldCharType="separate"/>
      </w:r>
      <w:r>
        <w:rPr>
          <w:rStyle w:val="Hyperlink"/>
          <w:lang w:val="en-US" w:eastAsia="en-US" w:bidi="en-US"/>
          <w:w w:val="100"/>
          <w:spacing w:val="0"/>
          <w:position w:val="0"/>
        </w:rPr>
        <w:t>info@2320085.ru</w:t>
      </w:r>
      <w:r>
        <w:fldChar w:fldCharType="end"/>
      </w:r>
    </w:p>
    <w:p>
      <w:pPr>
        <w:widowControl w:val="0"/>
        <w:spacing w:before="66" w:after="6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91" w:left="3856" w:right="3568" w:bottom="691" w:header="0" w:footer="3" w:gutter="0"/>
          <w:rtlGutter w:val="0"/>
          <w:cols w:space="720"/>
          <w:noEndnote/>
          <w:docGrid w:linePitch="360"/>
        </w:sectPr>
      </w:pPr>
      <w:r>
        <w:rPr>
          <w:lang w:val="ru-RU" w:eastAsia="ru-RU" w:bidi="ru-RU"/>
          <w:w w:val="100"/>
          <w:spacing w:val="0"/>
          <w:color w:val="000000"/>
          <w:position w:val="0"/>
        </w:rPr>
        <w:t>РЕШЕНИЕ № 048/06/106-750/2022</w:t>
      </w:r>
    </w:p>
    <w:p>
      <w:pPr>
        <w:widowControl w:val="0"/>
        <w:spacing w:before="72" w:after="7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framePr w:h="240" w:wrap="around" w:vAnchor="text" w:hAnchor="margin" w:x="8337" w:y="1"/>
        <w:widowControl w:val="0"/>
        <w:keepNext w:val="0"/>
        <w:keepLines w:val="0"/>
        <w:shd w:val="clear" w:color="auto" w:fill="auto"/>
        <w:bidi w:val="0"/>
        <w:jc w:val="left"/>
        <w:spacing w:before="0" w:after="0" w:line="240" w:lineRule="exact"/>
        <w:ind w:left="100" w:right="0" w:firstLine="0"/>
      </w:pPr>
      <w:r>
        <w:rPr>
          <w:rStyle w:val="CharStyle8"/>
          <w:spacing w:val="0"/>
        </w:rPr>
        <w:t>г. Липецк</w:t>
      </w:r>
    </w:p>
    <w:p>
      <w:pPr>
        <w:pStyle w:val="Style3"/>
        <w:widowControl w:val="0"/>
        <w:keepNext w:val="0"/>
        <w:keepLines w:val="0"/>
        <w:shd w:val="clear" w:color="auto" w:fill="auto"/>
        <w:bidi w:val="0"/>
        <w:jc w:val="both"/>
        <w:spacing w:before="0" w:after="303" w:line="260" w:lineRule="exact"/>
        <w:ind w:left="0" w:right="0" w:firstLine="0"/>
      </w:pPr>
      <w:r>
        <w:rPr>
          <w:lang w:val="ru-RU" w:eastAsia="ru-RU" w:bidi="ru-RU"/>
          <w:w w:val="100"/>
          <w:spacing w:val="0"/>
          <w:color w:val="000000"/>
          <w:position w:val="0"/>
        </w:rPr>
        <w:t>«08» августа 2022 года</w:t>
      </w:r>
    </w:p>
    <w:p>
      <w:pPr>
        <w:pStyle w:val="Style3"/>
        <w:widowControl w:val="0"/>
        <w:keepNext w:val="0"/>
        <w:keepLines w:val="0"/>
        <w:shd w:val="clear" w:color="auto" w:fill="auto"/>
        <w:bidi w:val="0"/>
        <w:jc w:val="left"/>
        <w:spacing w:before="0" w:after="300"/>
        <w:ind w:left="580" w:right="1940" w:firstLine="0"/>
      </w:pPr>
      <w:r>
        <w:rPr>
          <w:lang w:val="ru-RU" w:eastAsia="ru-RU" w:bidi="ru-RU"/>
          <w:w w:val="100"/>
          <w:spacing w:val="0"/>
          <w:color w:val="000000"/>
          <w:position w:val="0"/>
        </w:rPr>
        <w:t>Резолютивная часть решения оглашена 08.08.2022. Решение в полном объеме изготовлено 09.08.2022.</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заместитель председателя Комиссии: Т.Н. Ролдугина - начальник отдела контроля закупок и торгов; члены Комиссии: А.С. Талинская - веду</w:t>
      </w:r>
      <w:r>
        <w:rPr>
          <w:rStyle w:val="CharStyle9"/>
        </w:rPr>
        <w:t>щи</w:t>
      </w:r>
      <w:r>
        <w:rPr>
          <w:lang w:val="ru-RU" w:eastAsia="ru-RU" w:bidi="ru-RU"/>
          <w:w w:val="100"/>
          <w:spacing w:val="0"/>
          <w:color w:val="000000"/>
          <w:position w:val="0"/>
        </w:rPr>
        <w:t>й специалист- эксперт отдела защиты конкуренции, С.С. Кажушко -специалист-эксперт отдела контроля закупок и торгов,</w:t>
      </w:r>
    </w:p>
    <w:p>
      <w:pPr>
        <w:pStyle w:val="Style3"/>
        <w:widowControl w:val="0"/>
        <w:keepNext w:val="0"/>
        <w:keepLines w:val="0"/>
        <w:shd w:val="clear" w:color="auto" w:fill="auto"/>
        <w:bidi w:val="0"/>
        <w:jc w:val="both"/>
        <w:spacing w:before="0" w:after="0"/>
        <w:ind w:left="0" w:right="0" w:firstLine="560"/>
      </w:pPr>
      <w:r>
        <w:rPr>
          <w:lang w:val="ru-RU" w:eastAsia="ru-RU" w:bidi="ru-RU"/>
          <w:w w:val="100"/>
          <w:spacing w:val="0"/>
          <w:color w:val="000000"/>
          <w:position w:val="0"/>
        </w:rPr>
        <w:t>при участии посредством видеоконференцсвязи представителей:</w:t>
      </w:r>
    </w:p>
    <w:p>
      <w:pPr>
        <w:pStyle w:val="Style3"/>
        <w:numPr>
          <w:ilvl w:val="0"/>
          <w:numId w:val="1"/>
        </w:numPr>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 xml:space="preserve"> государственного учреждения здравоохранения «Елецкая городская больница №1 им. Н.А. Семашко» - Бурбо О.П. (по доверенности), Вдовиной К.А. (по доверенности),</w:t>
      </w:r>
    </w:p>
    <w:p>
      <w:pPr>
        <w:pStyle w:val="Style3"/>
        <w:numPr>
          <w:ilvl w:val="0"/>
          <w:numId w:val="1"/>
        </w:numPr>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 xml:space="preserve"> областного казенного учреждения «Управление по размещению госзаказа Липецкой области» - Карабановой Е.А. (по доверенности),</w:t>
      </w:r>
    </w:p>
    <w:p>
      <w:pPr>
        <w:pStyle w:val="Style3"/>
        <w:numPr>
          <w:ilvl w:val="0"/>
          <w:numId w:val="1"/>
        </w:numPr>
        <w:widowControl w:val="0"/>
        <w:keepNext w:val="0"/>
        <w:keepLines w:val="0"/>
        <w:shd w:val="clear" w:color="auto" w:fill="auto"/>
        <w:bidi w:val="0"/>
        <w:jc w:val="left"/>
        <w:spacing w:before="0" w:after="0"/>
        <w:ind w:left="580" w:right="20" w:firstLine="0"/>
      </w:pPr>
      <w:r>
        <w:rPr>
          <w:lang w:val="ru-RU" w:eastAsia="ru-RU" w:bidi="ru-RU"/>
          <w:w w:val="100"/>
          <w:spacing w:val="0"/>
          <w:color w:val="000000"/>
          <w:position w:val="0"/>
        </w:rPr>
        <w:t xml:space="preserve"> ООО «Эндовидео Группа» - Аксельрода М.Г. (по доверенности), рассмотрев жалобу ООО «Эндовидео группа» на положения извещения о</w:t>
      </w:r>
    </w:p>
    <w:p>
      <w:pPr>
        <w:pStyle w:val="Style3"/>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проведении электронного аукциона № 22-ЭА2-557: медицинское изделие стойка с оборудованием и принадлежностями для эндовидеохирургии (лапароскопии и</w:t>
      </w:r>
    </w:p>
    <w:p>
      <w:pPr>
        <w:pStyle w:val="Style10"/>
        <w:widowControl w:val="0"/>
        <w:keepNext/>
        <w:keepLines/>
        <w:shd w:val="clear" w:color="auto" w:fill="auto"/>
        <w:bidi w:val="0"/>
        <w:jc w:val="left"/>
        <w:spacing w:before="0" w:after="0" w:line="940" w:lineRule="exact"/>
        <w:ind w:left="0" w:right="0" w:firstLine="0"/>
      </w:pPr>
      <w:bookmarkStart w:id="0" w:name="bookmark0"/>
      <w:r>
        <w:rPr>
          <w:color w:val="000000"/>
          <w:position w:val="0"/>
        </w:rPr>
        <w:t xml:space="preserve">mini </w:t>
      </w:r>
      <w:r>
        <w:rPr>
          <w:rStyle w:val="CharStyle12"/>
        </w:rPr>
        <w:t>hi</w:t>
      </w:r>
      <w:r>
        <w:rPr>
          <w:rStyle w:val="CharStyle13"/>
        </w:rPr>
        <w:t xml:space="preserve"> </w:t>
      </w:r>
      <w:r>
        <w:rPr>
          <w:lang w:val="ru-RU" w:eastAsia="ru-RU" w:bidi="ru-RU"/>
          <w:color w:val="000000"/>
          <w:position w:val="0"/>
        </w:rPr>
        <w:t xml:space="preserve">ли </w:t>
      </w:r>
      <w:r>
        <w:rPr>
          <w:color w:val="000000"/>
          <w:position w:val="0"/>
        </w:rPr>
        <w:t>ini</w:t>
      </w:r>
      <w:bookmarkEnd w:id="0"/>
      <w:r>
        <w:br w:type="page"/>
      </w:r>
    </w:p>
    <w:p>
      <w:pPr>
        <w:pStyle w:val="Style3"/>
        <w:widowControl w:val="0"/>
        <w:keepNext w:val="0"/>
        <w:keepLines w:val="0"/>
        <w:shd w:val="clear" w:color="auto" w:fill="auto"/>
        <w:bidi w:val="0"/>
        <w:jc w:val="both"/>
        <w:spacing w:before="0" w:after="349"/>
        <w:ind w:left="0" w:right="20" w:firstLine="0"/>
      </w:pPr>
      <w:r>
        <w:rPr>
          <w:lang w:val="ru-RU" w:eastAsia="ru-RU" w:bidi="ru-RU"/>
          <w:w w:val="100"/>
          <w:spacing w:val="0"/>
          <w:color w:val="000000"/>
          <w:position w:val="0"/>
        </w:rPr>
        <w:t>гистероскопии) и набором инструментов (II, III),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0846500000622000549) (далее - электронный аукцион), а также другие документы (копии), представленные сторонами, заслушав мнение представителей сторон,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w:t>
      </w:r>
    </w:p>
    <w:p>
      <w:pPr>
        <w:pStyle w:val="Style3"/>
        <w:widowControl w:val="0"/>
        <w:keepNext w:val="0"/>
        <w:keepLines w:val="0"/>
        <w:shd w:val="clear" w:color="auto" w:fill="auto"/>
        <w:bidi w:val="0"/>
        <w:jc w:val="center"/>
        <w:spacing w:before="0" w:after="308" w:line="260" w:lineRule="exact"/>
        <w:ind w:left="20" w:right="0" w:firstLine="0"/>
      </w:pPr>
      <w:r>
        <w:rPr>
          <w:lang w:val="ru-RU" w:eastAsia="ru-RU" w:bidi="ru-RU"/>
          <w:w w:val="100"/>
          <w:spacing w:val="0"/>
          <w:color w:val="000000"/>
          <w:position w:val="0"/>
        </w:rPr>
        <w:t>У С Т А Н О В И Л А:</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В Липецкое УФАС России посредством функционала ЕИС поступила жалоба ООО «Эндовидео Группа» (далее - заявитель) на положения извещения о проведении электронного аукциона (заказчик - государственное учреждение здравоохранения «Елецкая городская больница №1 им. Н.А. Семашко» (далее - заказчик)).</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Сведения о времени и месте ее рассмотрения размещены Липецким УФАС России в ЕИС.</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Рассмотрение жалобы назначено на 05.08.2022 в 12:20 час. Однако, в связи с необходимостью получения дополнительных сведений и документов от сторон, в рассмотрении жалобы объявлен перерыв до 14:30 час. 08.08.2022. После объявленного перерыва в связи с технической невозможностью проведения заседания Комиссии посредством видеоконференцсвязи, представители сторон не смогли принять участие в видеоконференцсвязи.</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 xml:space="preserve">Представитель заявителя сообщил, что совокупность требований, установленных заказчиком в описании объекта закупки, соответствует исключительно стойке с оборудованием и принадлежностями для эндовидеохирургии (лапароскопии и гистероскопии) одного производителя </w:t>
      </w:r>
      <w:r>
        <w:rPr>
          <w:lang w:val="en-US" w:eastAsia="en-US" w:bidi="en-US"/>
          <w:w w:val="100"/>
          <w:spacing w:val="0"/>
          <w:color w:val="000000"/>
          <w:position w:val="0"/>
        </w:rPr>
        <w:t xml:space="preserve">Aesculap AG, </w:t>
      </w:r>
      <w:r>
        <w:rPr>
          <w:lang w:val="ru-RU" w:eastAsia="ru-RU" w:bidi="ru-RU"/>
          <w:w w:val="100"/>
          <w:spacing w:val="0"/>
          <w:color w:val="000000"/>
          <w:position w:val="0"/>
        </w:rPr>
        <w:t xml:space="preserve">подразделение компании Б. Браун, Германия. Общество намеревалось предложить к поставке товар производителя </w:t>
      </w:r>
      <w:r>
        <w:rPr>
          <w:lang w:val="en-US" w:eastAsia="en-US" w:bidi="en-US"/>
          <w:w w:val="100"/>
          <w:spacing w:val="0"/>
          <w:color w:val="000000"/>
          <w:position w:val="0"/>
        </w:rPr>
        <w:t xml:space="preserve">Richard Wolf. </w:t>
      </w:r>
      <w:r>
        <w:rPr>
          <w:lang w:val="ru-RU" w:eastAsia="ru-RU" w:bidi="ru-RU"/>
          <w:w w:val="100"/>
          <w:spacing w:val="0"/>
          <w:color w:val="000000"/>
          <w:position w:val="0"/>
        </w:rPr>
        <w:t>Однако требования в описании объекта закупки не позволяют обществу подать заявку на участие в электронном аукционе. При этом потребность заказчика в установлении ряда излишне детализированных показателей характеристик не является клинически объективной.</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 xml:space="preserve">Представители заказчика указали, что считают жалобу необоснованной. Заказчик для проработки рынка разместил в ЕИС запрос цен, на что поступило два предложения о поставке товара двух разных производителей - </w:t>
      </w:r>
      <w:r>
        <w:rPr>
          <w:lang w:val="en-US" w:eastAsia="en-US" w:bidi="en-US"/>
          <w:w w:val="100"/>
          <w:spacing w:val="0"/>
          <w:color w:val="000000"/>
          <w:position w:val="0"/>
        </w:rPr>
        <w:t xml:space="preserve">Richard Wolf </w:t>
      </w:r>
      <w:r>
        <w:rPr>
          <w:lang w:val="ru-RU" w:eastAsia="ru-RU" w:bidi="ru-RU"/>
          <w:w w:val="100"/>
          <w:spacing w:val="0"/>
          <w:color w:val="000000"/>
          <w:position w:val="0"/>
        </w:rPr>
        <w:t>и Б. Браун. Следовательно, заказчик своим описанием объекта закупки обеспечил возможность поставки товара двух разных производителей.</w:t>
      </w:r>
    </w:p>
    <w:p>
      <w:pPr>
        <w:pStyle w:val="Style3"/>
        <w:widowControl w:val="0"/>
        <w:keepNext w:val="0"/>
        <w:keepLines w:val="0"/>
        <w:shd w:val="clear" w:color="auto" w:fill="auto"/>
        <w:bidi w:val="0"/>
        <w:jc w:val="both"/>
        <w:spacing w:before="0" w:after="0"/>
        <w:ind w:left="0" w:right="0" w:firstLine="560"/>
      </w:pPr>
      <w:r>
        <w:rPr>
          <w:lang w:val="ru-RU" w:eastAsia="ru-RU" w:bidi="ru-RU"/>
          <w:w w:val="100"/>
          <w:spacing w:val="0"/>
          <w:color w:val="000000"/>
          <w:position w:val="0"/>
        </w:rPr>
        <w:t>Представитель уполномоченного учреждения также считает жалобу</w:t>
      </w:r>
    </w:p>
    <w:p>
      <w:pPr>
        <w:pStyle w:val="Style3"/>
        <w:widowControl w:val="0"/>
        <w:keepNext w:val="0"/>
        <w:keepLines w:val="0"/>
        <w:shd w:val="clear" w:color="auto" w:fill="auto"/>
        <w:bidi w:val="0"/>
        <w:jc w:val="left"/>
        <w:spacing w:before="0" w:after="298" w:line="260" w:lineRule="exact"/>
        <w:ind w:left="20" w:right="0" w:firstLine="0"/>
      </w:pPr>
      <w:r>
        <w:rPr>
          <w:lang w:val="ru-RU" w:eastAsia="ru-RU" w:bidi="ru-RU"/>
          <w:w w:val="100"/>
          <w:spacing w:val="0"/>
          <w:color w:val="000000"/>
          <w:position w:val="0"/>
        </w:rPr>
        <w:t>необоснованной.</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Извещение о проведении электронного аукциона размещено уполномоченным учреждением в ЕИС.</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Объектом закупки является поставка медицинского изделия стойки с оборудованием и принадлежностями для эндовидеохирургии (лапароскопии и гистероскопии) и набором инструментов </w:t>
      </w:r>
      <w:r>
        <w:rPr>
          <w:lang w:val="en-US" w:eastAsia="en-US" w:bidi="en-US"/>
          <w:w w:val="100"/>
          <w:spacing w:val="0"/>
          <w:color w:val="000000"/>
          <w:position w:val="0"/>
        </w:rPr>
        <w:t xml:space="preserve">(II, III), </w:t>
      </w:r>
      <w:r>
        <w:rPr>
          <w:lang w:val="ru-RU" w:eastAsia="ru-RU" w:bidi="ru-RU"/>
          <w:w w:val="100"/>
          <w:spacing w:val="0"/>
          <w:color w:val="000000"/>
          <w:position w:val="0"/>
        </w:rPr>
        <w:t>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w:t>
      </w:r>
    </w:p>
    <w:p>
      <w:pPr>
        <w:pStyle w:val="Style3"/>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Начальная (максимальная) цена контракта - 12 189 000,00 руб.</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Pr>
          <w:rStyle w:val="CharStyle9"/>
        </w:rPr>
        <w:t>В описание объекта закупки не должны включаться</w:t>
      </w:r>
      <w:r>
        <w:rPr>
          <w:lang w:val="ru-RU" w:eastAsia="ru-RU" w:bidi="ru-RU"/>
          <w:w w:val="100"/>
          <w:spacing w:val="0"/>
          <w:color w:val="000000"/>
          <w:position w:val="0"/>
        </w:rPr>
        <w:t xml:space="preserve">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Pr>
          <w:rStyle w:val="CharStyle9"/>
        </w:rPr>
        <w:t>требования к товарам, информации,</w:t>
      </w:r>
      <w:r>
        <w:rPr>
          <w:lang w:val="ru-RU" w:eastAsia="ru-RU" w:bidi="ru-RU"/>
          <w:w w:val="100"/>
          <w:spacing w:val="0"/>
          <w:color w:val="000000"/>
          <w:position w:val="0"/>
        </w:rPr>
        <w:t xml:space="preserve"> </w:t>
      </w:r>
      <w:r>
        <w:rPr>
          <w:rStyle w:val="CharStyle9"/>
        </w:rPr>
        <w:t>работам, услугам при условии, что такие требования или указания влекут за собой</w:t>
      </w:r>
      <w:r>
        <w:rPr>
          <w:lang w:val="ru-RU" w:eastAsia="ru-RU" w:bidi="ru-RU"/>
          <w:w w:val="100"/>
          <w:spacing w:val="0"/>
          <w:color w:val="000000"/>
          <w:position w:val="0"/>
        </w:rPr>
        <w:t xml:space="preserve"> </w:t>
      </w:r>
      <w:r>
        <w:rPr>
          <w:rStyle w:val="CharStyle9"/>
        </w:rPr>
        <w:t>ограничение количества участников закупки</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 мнению подателя жалобы, характеристики видеокамеры (пункты 1.1 -1.2</w:t>
        <w:softHyphen/>
        <w:t xml:space="preserve">1.2.11 и особенно п. 1.1.15. - 1.1.16.), источника света (пункты 1.3 - 1.3.17), инсуфлятора (пункты 1.6 - 1.8.3.), аспиратора-ирригатора (пункты 1.10- 1.12.4, в особенности пункт 1.9.8.) и электрокоагулятора (пункты 1.12 - 1.16.4) делают невозможным поставки товара разных производителей. Заказчик во мнении на жалобу, а также представленных 08.08.2022 дополнительных пояснениях указывает сведения, о соответствии обжалуемых характеристик видеокамеры, источника света, инсуфлятора, аспиратора-ирригатора товару производителя </w:t>
      </w:r>
      <w:r>
        <w:rPr>
          <w:lang w:val="en-US" w:eastAsia="en-US" w:bidi="en-US"/>
          <w:w w:val="100"/>
          <w:spacing w:val="0"/>
          <w:color w:val="000000"/>
          <w:position w:val="0"/>
        </w:rPr>
        <w:t>Richard Wolf.</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В ходе анализа представленных доказательств, Комиссией установлено, что представленные заказчиком доказательства не подтверждают его заявленный довод о соответствии обжалуемых заявителем характеристик видеокамеры, источника света, инсуфлятора, аспиратора-ирригатора товару производителя </w:t>
      </w:r>
      <w:r>
        <w:rPr>
          <w:lang w:val="en-US" w:eastAsia="en-US" w:bidi="en-US"/>
          <w:w w:val="100"/>
          <w:spacing w:val="0"/>
          <w:color w:val="000000"/>
          <w:position w:val="0"/>
        </w:rPr>
        <w:t>Richard Wolf.</w:t>
      </w:r>
    </w:p>
    <w:p>
      <w:pPr>
        <w:pStyle w:val="Style3"/>
        <w:tabs>
          <w:tab w:leader="underscore" w:pos="7134" w:val="left"/>
          <w:tab w:leader="underscore" w:pos="9826" w:val="lef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Так, в частности, в подпунктах п. 1.3 «Источник света эндоскопический» </w:t>
      </w:r>
      <w:r>
        <w:rPr>
          <w:rStyle w:val="CharStyle9"/>
        </w:rPr>
        <w:t>установлено:</w:t>
      </w:r>
      <w:r>
        <w:rPr>
          <w:lang w:val="ru-RU" w:eastAsia="ru-RU" w:bidi="ru-RU"/>
          <w:w w:val="100"/>
          <w:spacing w:val="0"/>
          <w:color w:val="000000"/>
          <w:position w:val="0"/>
        </w:rPr>
        <w:tab/>
        <w:tab/>
      </w:r>
    </w:p>
    <w:tbl>
      <w:tblPr>
        <w:tblOverlap w:val="never"/>
        <w:tblLayout w:type="fixed"/>
        <w:jc w:val="center"/>
      </w:tblPr>
      <w:tblGrid>
        <w:gridCol w:w="1032"/>
        <w:gridCol w:w="6058"/>
        <w:gridCol w:w="2702"/>
      </w:tblGrid>
      <w:tr>
        <w:trPr>
          <w:trHeight w:val="336" w:hRule="exact"/>
        </w:trPr>
        <w:tc>
          <w:tcPr>
            <w:shd w:val="clear" w:color="auto" w:fill="FFFFFF"/>
            <w:tcBorders>
              <w:left w:val="single" w:sz="4"/>
              <w:top w:val="single" w:sz="4"/>
            </w:tcBorders>
            <w:vAlign w:val="bottom"/>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240" w:right="0" w:firstLine="0"/>
            </w:pPr>
            <w:r>
              <w:rPr>
                <w:rStyle w:val="CharStyle16"/>
              </w:rPr>
              <w:t>1.3.2.</w:t>
            </w:r>
          </w:p>
        </w:tc>
        <w:tc>
          <w:tcPr>
            <w:shd w:val="clear" w:color="auto" w:fill="FFFFFF"/>
            <w:tcBorders>
              <w:left w:val="single" w:sz="4"/>
              <w:top w:val="single" w:sz="4"/>
            </w:tcBorders>
            <w:vAlign w:val="bottom"/>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120" w:right="0" w:firstLine="0"/>
            </w:pPr>
            <w:r>
              <w:rPr>
                <w:rStyle w:val="CharStyle16"/>
              </w:rPr>
              <w:t>мощность источника света</w:t>
            </w:r>
          </w:p>
        </w:tc>
        <w:tc>
          <w:tcPr>
            <w:shd w:val="clear" w:color="auto" w:fill="FFFFFF"/>
            <w:tcBorders>
              <w:left w:val="single" w:sz="4"/>
              <w:right w:val="single" w:sz="4"/>
              <w:top w:val="single" w:sz="4"/>
            </w:tcBorders>
            <w:vAlign w:val="bottom"/>
          </w:tcPr>
          <w:p>
            <w:pPr>
              <w:pStyle w:val="Style3"/>
              <w:framePr w:w="9792"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6"/>
              </w:rPr>
              <w:t>не менее 240 Вт</w:t>
            </w:r>
          </w:p>
        </w:tc>
      </w:tr>
      <w:tr>
        <w:trPr>
          <w:trHeight w:val="326" w:hRule="exact"/>
        </w:trPr>
        <w:tc>
          <w:tcPr>
            <w:shd w:val="clear" w:color="auto" w:fill="FFFFFF"/>
            <w:tcBorders>
              <w:left w:val="single" w:sz="4"/>
              <w:top w:val="single" w:sz="4"/>
            </w:tcBorders>
            <w:vAlign w:val="bottom"/>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240" w:right="0" w:firstLine="0"/>
            </w:pPr>
            <w:r>
              <w:rPr>
                <w:rStyle w:val="CharStyle16"/>
              </w:rPr>
              <w:t>1.3.3.</w:t>
            </w:r>
          </w:p>
        </w:tc>
        <w:tc>
          <w:tcPr>
            <w:shd w:val="clear" w:color="auto" w:fill="FFFFFF"/>
            <w:tcBorders>
              <w:left w:val="single" w:sz="4"/>
              <w:top w:val="single" w:sz="4"/>
            </w:tcBorders>
            <w:vAlign w:val="bottom"/>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120" w:right="0" w:firstLine="0"/>
            </w:pPr>
            <w:r>
              <w:rPr>
                <w:rStyle w:val="CharStyle16"/>
              </w:rPr>
              <w:t>время работы</w:t>
            </w:r>
          </w:p>
        </w:tc>
        <w:tc>
          <w:tcPr>
            <w:shd w:val="clear" w:color="auto" w:fill="FFFFFF"/>
            <w:tcBorders>
              <w:left w:val="single" w:sz="4"/>
              <w:right w:val="single" w:sz="4"/>
              <w:top w:val="single" w:sz="4"/>
            </w:tcBorders>
            <w:vAlign w:val="bottom"/>
          </w:tcPr>
          <w:p>
            <w:pPr>
              <w:pStyle w:val="Style3"/>
              <w:framePr w:w="9792"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6"/>
              </w:rPr>
              <w:t>не менее 30 000 час.</w:t>
            </w:r>
          </w:p>
        </w:tc>
      </w:tr>
      <w:tr>
        <w:trPr>
          <w:trHeight w:val="984" w:hRule="exact"/>
        </w:trPr>
        <w:tc>
          <w:tcPr>
            <w:shd w:val="clear" w:color="auto" w:fill="FFFFFF"/>
            <w:gridSpan w:val="2"/>
            <w:tcBorders>
              <w:top w:val="single" w:sz="4"/>
            </w:tcBorders>
            <w:vAlign w:val="bottom"/>
          </w:tcPr>
          <w:p>
            <w:pPr>
              <w:pStyle w:val="Style3"/>
              <w:framePr w:w="9792" w:wrap="notBeside" w:vAnchor="text" w:hAnchor="text" w:xAlign="center" w:y="1"/>
              <w:widowControl w:val="0"/>
              <w:keepNext w:val="0"/>
              <w:keepLines w:val="0"/>
              <w:shd w:val="clear" w:color="auto" w:fill="auto"/>
              <w:bidi w:val="0"/>
              <w:jc w:val="right"/>
              <w:spacing w:before="0" w:after="0"/>
              <w:ind w:left="0" w:right="0" w:firstLine="0"/>
            </w:pPr>
            <w:r>
              <w:rPr>
                <w:rStyle w:val="CharStyle16"/>
              </w:rPr>
              <w:t xml:space="preserve">В инструкции по применению источника света </w:t>
            </w:r>
            <w:r>
              <w:rPr>
                <w:rStyle w:val="CharStyle16"/>
                <w:lang w:val="en-US" w:eastAsia="en-US" w:bidi="en-US"/>
              </w:rPr>
              <w:t xml:space="preserve">Richard </w:t>
            </w:r>
            <w:r>
              <w:rPr>
                <w:rStyle w:val="CharStyle16"/>
              </w:rPr>
              <w:t>следующие сведения: тип/мощность-светодиод 80 Вт; срок По подпунктам п. 1.9 «Аспиратор-ирригатор» заказчик</w:t>
            </w:r>
          </w:p>
        </w:tc>
        <w:tc>
          <w:tcPr>
            <w:shd w:val="clear" w:color="auto" w:fill="FFFFFF"/>
            <w:tcBorders>
              <w:left w:val="single" w:sz="4"/>
              <w:top w:val="single" w:sz="4"/>
            </w:tcBorders>
            <w:vAlign w:val="bottom"/>
          </w:tcPr>
          <w:p>
            <w:pPr>
              <w:pStyle w:val="Style3"/>
              <w:framePr w:w="9792" w:wrap="notBeside" w:vAnchor="text" w:hAnchor="text" w:xAlign="center" w:y="1"/>
              <w:widowControl w:val="0"/>
              <w:keepNext w:val="0"/>
              <w:keepLines w:val="0"/>
              <w:shd w:val="clear" w:color="auto" w:fill="auto"/>
              <w:bidi w:val="0"/>
              <w:jc w:val="left"/>
              <w:spacing w:before="0" w:after="0"/>
              <w:ind w:left="20" w:right="0" w:firstLine="100"/>
            </w:pPr>
            <w:r>
              <w:rPr>
                <w:rStyle w:val="CharStyle16"/>
                <w:lang w:val="en-US" w:eastAsia="en-US" w:bidi="en-US"/>
              </w:rPr>
              <w:t xml:space="preserve">Wolf </w:t>
            </w:r>
            <w:r>
              <w:rPr>
                <w:rStyle w:val="CharStyle16"/>
              </w:rPr>
              <w:t>содержатся службы -ок. 30000 ч. установил:</w:t>
            </w:r>
          </w:p>
        </w:tc>
      </w:tr>
      <w:tr>
        <w:trPr>
          <w:trHeight w:val="653" w:hRule="exact"/>
        </w:trPr>
        <w:tc>
          <w:tcPr>
            <w:shd w:val="clear" w:color="auto" w:fill="FFFFFF"/>
            <w:tcBorders>
              <w:left w:val="single" w:sz="4"/>
              <w:top w:val="single" w:sz="4"/>
            </w:tcBorders>
            <w:vAlign w:val="center"/>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200" w:right="0" w:firstLine="0"/>
            </w:pPr>
            <w:r>
              <w:rPr>
                <w:rStyle w:val="CharStyle16"/>
              </w:rPr>
              <w:t>1.9.9.</w:t>
            </w:r>
          </w:p>
        </w:tc>
        <w:tc>
          <w:tcPr>
            <w:shd w:val="clear" w:color="auto" w:fill="FFFFFF"/>
            <w:tcBorders>
              <w:left w:val="single" w:sz="4"/>
              <w:top w:val="single" w:sz="4"/>
            </w:tcBorders>
            <w:vAlign w:val="center"/>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120" w:right="0" w:firstLine="0"/>
            </w:pPr>
            <w:r>
              <w:rPr>
                <w:rStyle w:val="CharStyle16"/>
              </w:rPr>
              <w:t>максимальное давление ирригации</w:t>
            </w:r>
          </w:p>
        </w:tc>
        <w:tc>
          <w:tcPr>
            <w:shd w:val="clear" w:color="auto" w:fill="FFFFFF"/>
            <w:tcBorders>
              <w:left w:val="single" w:sz="4"/>
              <w:right w:val="single" w:sz="4"/>
              <w:top w:val="single" w:sz="4"/>
            </w:tcBorders>
            <w:vAlign w:val="top"/>
          </w:tcPr>
          <w:p>
            <w:pPr>
              <w:pStyle w:val="Style3"/>
              <w:framePr w:w="9792" w:wrap="notBeside" w:vAnchor="text" w:hAnchor="text" w:xAlign="center" w:y="1"/>
              <w:widowControl w:val="0"/>
              <w:keepNext w:val="0"/>
              <w:keepLines w:val="0"/>
              <w:shd w:val="clear" w:color="auto" w:fill="auto"/>
              <w:bidi w:val="0"/>
              <w:jc w:val="center"/>
              <w:spacing w:before="0" w:after="0" w:line="331" w:lineRule="exact"/>
              <w:ind w:left="0" w:right="0" w:firstLine="0"/>
            </w:pPr>
            <w:r>
              <w:rPr>
                <w:rStyle w:val="CharStyle16"/>
              </w:rPr>
              <w:t>не менее 370 мм.рт. ст.</w:t>
            </w:r>
          </w:p>
        </w:tc>
      </w:tr>
      <w:tr>
        <w:trPr>
          <w:trHeight w:val="658" w:hRule="exact"/>
        </w:trPr>
        <w:tc>
          <w:tcPr>
            <w:shd w:val="clear" w:color="auto" w:fill="FFFFFF"/>
            <w:tcBorders>
              <w:left w:val="single" w:sz="4"/>
              <w:top w:val="single" w:sz="4"/>
              <w:bottom w:val="single" w:sz="4"/>
            </w:tcBorders>
            <w:vAlign w:val="center"/>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200" w:right="0" w:firstLine="0"/>
            </w:pPr>
            <w:r>
              <w:rPr>
                <w:rStyle w:val="CharStyle16"/>
              </w:rPr>
              <w:t>1.9.10.</w:t>
            </w:r>
          </w:p>
        </w:tc>
        <w:tc>
          <w:tcPr>
            <w:shd w:val="clear" w:color="auto" w:fill="FFFFFF"/>
            <w:tcBorders>
              <w:left w:val="single" w:sz="4"/>
              <w:top w:val="single" w:sz="4"/>
              <w:bottom w:val="single" w:sz="4"/>
            </w:tcBorders>
            <w:vAlign w:val="center"/>
          </w:tcPr>
          <w:p>
            <w:pPr>
              <w:pStyle w:val="Style3"/>
              <w:framePr w:w="9792" w:wrap="notBeside" w:vAnchor="text" w:hAnchor="text" w:xAlign="center" w:y="1"/>
              <w:widowControl w:val="0"/>
              <w:keepNext w:val="0"/>
              <w:keepLines w:val="0"/>
              <w:shd w:val="clear" w:color="auto" w:fill="auto"/>
              <w:bidi w:val="0"/>
              <w:jc w:val="left"/>
              <w:spacing w:before="0" w:after="0" w:line="260" w:lineRule="exact"/>
              <w:ind w:left="120" w:right="0" w:firstLine="0"/>
            </w:pPr>
            <w:r>
              <w:rPr>
                <w:rStyle w:val="CharStyle16"/>
              </w:rPr>
              <w:t>стандартный поток ирригации, в диапазоне</w:t>
            </w:r>
          </w:p>
        </w:tc>
        <w:tc>
          <w:tcPr>
            <w:shd w:val="clear" w:color="auto" w:fill="FFFFFF"/>
            <w:tcBorders>
              <w:left w:val="single" w:sz="4"/>
              <w:right w:val="single" w:sz="4"/>
              <w:top w:val="single" w:sz="4"/>
              <w:bottom w:val="single" w:sz="4"/>
            </w:tcBorders>
            <w:vAlign w:val="top"/>
          </w:tcPr>
          <w:p>
            <w:pPr>
              <w:pStyle w:val="Style3"/>
              <w:framePr w:w="9792" w:wrap="notBeside" w:vAnchor="text" w:hAnchor="text" w:xAlign="center" w:y="1"/>
              <w:widowControl w:val="0"/>
              <w:keepNext w:val="0"/>
              <w:keepLines w:val="0"/>
              <w:shd w:val="clear" w:color="auto" w:fill="auto"/>
              <w:bidi w:val="0"/>
              <w:jc w:val="center"/>
              <w:spacing w:before="0" w:after="0"/>
              <w:ind w:left="0" w:right="0" w:firstLine="0"/>
            </w:pPr>
            <w:r>
              <w:rPr>
                <w:rStyle w:val="CharStyle16"/>
              </w:rPr>
              <w:t>от 1,0 л/мин до 1,8 л/мин</w:t>
            </w:r>
          </w:p>
        </w:tc>
      </w:tr>
    </w:tbl>
    <w:p>
      <w:pPr>
        <w:pStyle w:val="Style14"/>
        <w:framePr w:w="9792"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xml:space="preserve">В руководстве по эксплуатации ирригационного насоса </w:t>
      </w:r>
      <w:r>
        <w:rPr>
          <w:lang w:val="en-US" w:eastAsia="en-US" w:bidi="en-US"/>
          <w:w w:val="100"/>
          <w:spacing w:val="0"/>
          <w:color w:val="000000"/>
          <w:position w:val="0"/>
        </w:rPr>
        <w:t xml:space="preserve">Richard Wolf </w:t>
      </w:r>
      <w:r>
        <w:rPr>
          <w:lang w:val="ru-RU" w:eastAsia="ru-RU" w:bidi="ru-RU"/>
          <w:w w:val="100"/>
          <w:spacing w:val="0"/>
          <w:color w:val="000000"/>
          <w:position w:val="0"/>
        </w:rPr>
        <w:t>значения</w:t>
      </w:r>
    </w:p>
    <w:p>
      <w:pPr>
        <w:widowControl w:val="0"/>
        <w:rPr>
          <w:sz w:val="2"/>
          <w:szCs w:val="2"/>
        </w:rPr>
      </w:pPr>
    </w:p>
    <w:p>
      <w:pPr>
        <w:pStyle w:val="Style3"/>
        <w:tabs>
          <w:tab w:leader="none" w:pos="9361" w:val="center"/>
          <w:tab w:leader="none" w:pos="9697" w:val="center"/>
          <w:tab w:leader="none" w:pos="10182"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давления указаны в виде диапазона: 0 - 300 мм рт.ст.; поток ирригации:</w:t>
        <w:tab/>
        <w:t>0,1</w:t>
        <w:tab/>
        <w:t>-</w:t>
        <w:tab/>
        <w:t>1,8</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л/мин.</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Необходимо отметить, что по остальным пунктам описания объекта закупки заказчик не представил сведения о их соответствии товару производства </w:t>
      </w:r>
      <w:r>
        <w:rPr>
          <w:lang w:val="en-US" w:eastAsia="en-US" w:bidi="en-US"/>
          <w:w w:val="100"/>
          <w:spacing w:val="0"/>
          <w:color w:val="000000"/>
          <w:position w:val="0"/>
        </w:rPr>
        <w:t xml:space="preserve">Richard Wolf, </w:t>
      </w:r>
      <w:r>
        <w:rPr>
          <w:lang w:val="ru-RU" w:eastAsia="ru-RU" w:bidi="ru-RU"/>
          <w:w w:val="100"/>
          <w:spacing w:val="0"/>
          <w:color w:val="000000"/>
          <w:position w:val="0"/>
        </w:rPr>
        <w:t>несмотря на то, что это было заявлено его представителями.</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С учетом изложенного, поскольку при рассмотрении жалобы заказчик не доказал заявленный им довод о соответствии обозначенного товара в описании объекта закупки товарам двух производителей </w:t>
      </w:r>
      <w:r>
        <w:rPr>
          <w:lang w:val="en-US" w:eastAsia="en-US" w:bidi="en-US"/>
          <w:w w:val="100"/>
          <w:spacing w:val="0"/>
          <w:color w:val="000000"/>
          <w:position w:val="0"/>
        </w:rPr>
        <w:t xml:space="preserve">Richard Wolf </w:t>
      </w:r>
      <w:r>
        <w:rPr>
          <w:lang w:val="ru-RU" w:eastAsia="ru-RU" w:bidi="ru-RU"/>
          <w:w w:val="100"/>
          <w:spacing w:val="0"/>
          <w:color w:val="000000"/>
          <w:position w:val="0"/>
        </w:rPr>
        <w:t xml:space="preserve">и Б. Браун (ценовые предложения на товар которых использованы заказчиком при обосновании начальной (максимальной) цены контракта), при наличии ограничения возможности участия в закупке заявителя с товаром производителя </w:t>
      </w:r>
      <w:r>
        <w:rPr>
          <w:lang w:val="en-US" w:eastAsia="en-US" w:bidi="en-US"/>
          <w:w w:val="100"/>
          <w:spacing w:val="0"/>
          <w:color w:val="000000"/>
          <w:position w:val="0"/>
        </w:rPr>
        <w:t xml:space="preserve">Richard Wolf </w:t>
      </w:r>
      <w:r>
        <w:rPr>
          <w:lang w:val="ru-RU" w:eastAsia="ru-RU" w:bidi="ru-RU"/>
          <w:w w:val="100"/>
          <w:spacing w:val="0"/>
          <w:color w:val="000000"/>
          <w:position w:val="0"/>
        </w:rPr>
        <w:t>и в связи с отсутствием обоснования заказчиком объективной необходимости установления обжалуемых заявителем характеристик, Комиссия приходит к выводу об установлении заказчиком требований к товару, которые влекут за собой ограничение количества участников закупки.</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ст.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Таким образом, в действиях заказчика содержится нарушение п. 1 ч. 1 ст. 33 Закона о контрактной системе, что содержит признаки совершения административного правонарушения, предусмотренного ч. 4.1 ст. 7.30 КоАП РФ.</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тоже время относительно позиции заявителя о непонимании приобретения заказчиком клипаппликатора, клипс, кабеля с непонятным назначением Комиссия отмечает, что заказчиком в представленных доказательствах письменно обоснована необходимость их приобретения.</w:t>
      </w:r>
    </w:p>
    <w:p>
      <w:pPr>
        <w:pStyle w:val="Style3"/>
        <w:widowControl w:val="0"/>
        <w:keepNext w:val="0"/>
        <w:keepLines w:val="0"/>
        <w:shd w:val="clear" w:color="auto" w:fill="auto"/>
        <w:bidi w:val="0"/>
        <w:jc w:val="both"/>
        <w:spacing w:before="0" w:after="349"/>
        <w:ind w:left="20" w:right="20" w:firstLine="560"/>
      </w:pPr>
      <w:r>
        <w:rPr>
          <w:lang w:val="ru-RU" w:eastAsia="ru-RU" w:bidi="ru-RU"/>
          <w:w w:val="100"/>
          <w:spacing w:val="0"/>
          <w:color w:val="000000"/>
          <w:position w:val="0"/>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3"/>
        <w:widowControl w:val="0"/>
        <w:keepNext w:val="0"/>
        <w:keepLines w:val="0"/>
        <w:shd w:val="clear" w:color="auto" w:fill="auto"/>
        <w:bidi w:val="0"/>
        <w:jc w:val="center"/>
        <w:spacing w:before="0" w:after="303" w:line="260" w:lineRule="exact"/>
        <w:ind w:left="0" w:right="0" w:firstLine="0"/>
      </w:pPr>
      <w:r>
        <w:rPr>
          <w:lang w:val="ru-RU" w:eastAsia="ru-RU" w:bidi="ru-RU"/>
          <w:w w:val="100"/>
          <w:spacing w:val="0"/>
          <w:color w:val="000000"/>
          <w:position w:val="0"/>
        </w:rPr>
        <w:t>Р Е Ш И Л А:</w:t>
      </w:r>
    </w:p>
    <w:p>
      <w:pPr>
        <w:pStyle w:val="Style3"/>
        <w:numPr>
          <w:ilvl w:val="0"/>
          <w:numId w:val="3"/>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Признать жалобу ООО «Эндовидео группа» на положения извещения о проведении электронного аукциона № 22-ЭА2-557: медицинское изделие стойка с оборудованием и принадлежностями для эндовидеохирургии (лапароскопии и гистероскопии) и набором инструментов </w:t>
      </w:r>
      <w:r>
        <w:rPr>
          <w:lang w:val="en-US" w:eastAsia="en-US" w:bidi="en-US"/>
          <w:w w:val="100"/>
          <w:spacing w:val="0"/>
          <w:color w:val="000000"/>
          <w:position w:val="0"/>
        </w:rPr>
        <w:t xml:space="preserve">(II, III), </w:t>
      </w:r>
      <w:r>
        <w:rPr>
          <w:lang w:val="ru-RU" w:eastAsia="ru-RU" w:bidi="ru-RU"/>
          <w:w w:val="100"/>
          <w:spacing w:val="0"/>
          <w:color w:val="000000"/>
          <w:position w:val="0"/>
        </w:rPr>
        <w:t>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0846500000622000549) обоснованной.</w:t>
      </w:r>
    </w:p>
    <w:p>
      <w:pPr>
        <w:pStyle w:val="Style3"/>
        <w:numPr>
          <w:ilvl w:val="0"/>
          <w:numId w:val="3"/>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В действиях заказчика установлено нарушение п. 1 ч. 1 ст. 33 Закона о контрактной системе.</w:t>
      </w:r>
    </w:p>
    <w:p>
      <w:pPr>
        <w:pStyle w:val="Style3"/>
        <w:numPr>
          <w:ilvl w:val="0"/>
          <w:numId w:val="3"/>
        </w:numPr>
        <w:widowControl w:val="0"/>
        <w:keepNext w:val="0"/>
        <w:keepLines w:val="0"/>
        <w:shd w:val="clear" w:color="auto" w:fill="auto"/>
        <w:bidi w:val="0"/>
        <w:jc w:val="both"/>
        <w:spacing w:before="0" w:after="0"/>
        <w:ind w:left="20" w:right="0" w:firstLine="580"/>
      </w:pPr>
      <w:r>
        <w:rPr>
          <w:lang w:val="ru-RU" w:eastAsia="ru-RU" w:bidi="ru-RU"/>
          <w:w w:val="100"/>
          <w:spacing w:val="0"/>
          <w:color w:val="000000"/>
          <w:position w:val="0"/>
        </w:rPr>
        <w:t xml:space="preserve"> Выдать предписание об устранении выявленного нарушения.</w:t>
      </w:r>
    </w:p>
    <w:p>
      <w:pPr>
        <w:pStyle w:val="Style3"/>
        <w:numPr>
          <w:ilvl w:val="0"/>
          <w:numId w:val="3"/>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 а также о возбуждении дела по признакам нарушения антимонопольного законодательства.</w:t>
      </w:r>
    </w:p>
    <w:p>
      <w:pPr>
        <w:pStyle w:val="Style3"/>
        <w:widowControl w:val="0"/>
        <w:keepNext w:val="0"/>
        <w:keepLines w:val="0"/>
        <w:shd w:val="clear" w:color="auto" w:fill="auto"/>
        <w:bidi w:val="0"/>
        <w:jc w:val="both"/>
        <w:spacing w:before="0" w:after="343"/>
        <w:ind w:left="20" w:right="20" w:firstLine="580"/>
      </w:pPr>
      <w:r>
        <w:rPr>
          <w:lang w:val="ru-RU" w:eastAsia="ru-RU" w:bidi="ru-RU"/>
          <w:w w:val="100"/>
          <w:spacing w:val="0"/>
          <w:color w:val="000000"/>
          <w:position w:val="0"/>
        </w:rPr>
        <w:t>Решение может быть обжаловано в арбитражный суд в течение трех месяцев со дня его вынесения.</w:t>
      </w:r>
    </w:p>
    <w:p>
      <w:pPr>
        <w:pStyle w:val="Style3"/>
        <w:tabs>
          <w:tab w:leader="none" w:pos="8360" w:val="left"/>
          <w:tab w:leader="none" w:pos="8271"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 председателя Комиссии:</w:t>
        <w:tab/>
        <w:t xml:space="preserve"> Т.Н.</w:t>
        <w:tab/>
        <w:t>Ролдугина</w:t>
      </w:r>
    </w:p>
    <w:p>
      <w:pPr>
        <w:pStyle w:val="Style3"/>
        <w:tabs>
          <w:tab w:leader="none" w:pos="8207"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 xml:space="preserve"> А.С.</w:t>
        <w:tab/>
        <w:t>Талинская</w:t>
      </w:r>
    </w:p>
    <w:p>
      <w:pPr>
        <w:pStyle w:val="Style3"/>
        <w:tabs>
          <w:tab w:leader="none" w:pos="8375" w:val="left"/>
          <w:tab w:leader="none" w:pos="8290" w:val="left"/>
        </w:tabs>
        <w:widowControl w:val="0"/>
        <w:keepNext w:val="0"/>
        <w:keepLines w:val="0"/>
        <w:shd w:val="clear" w:color="auto" w:fill="auto"/>
        <w:bidi w:val="0"/>
        <w:jc w:val="both"/>
        <w:spacing w:before="0" w:after="0" w:line="643" w:lineRule="exact"/>
        <w:ind w:left="6380" w:right="0" w:firstLine="0"/>
      </w:pPr>
      <w:r>
        <w:rPr>
          <w:lang w:val="ru-RU" w:eastAsia="ru-RU" w:bidi="ru-RU"/>
          <w:w w:val="100"/>
          <w:spacing w:val="0"/>
          <w:color w:val="000000"/>
          <w:position w:val="0"/>
        </w:rPr>
        <w:tab/>
        <w:t>С.С.</w:t>
        <w:tab/>
        <w:t>Кажушко</w:t>
      </w:r>
    </w:p>
    <w:sectPr>
      <w:type w:val="continuous"/>
      <w:pgSz w:w="11909" w:h="16838"/>
      <w:pgMar w:top="1350" w:left="876" w:right="818" w:bottom="1062"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4.25pt;margin-top:798.85pt;width:45.1pt;height:7.9pt;z-index:-188744064;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2022-694</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05pt;margin-top:792.pt;width:45.1pt;height:7.9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2022-694</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Колонтитул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w:basedOn w:val="CharStyle4"/>
    <w:rPr>
      <w:lang w:val="ru-RU" w:eastAsia="ru-RU" w:bidi="ru-RU"/>
      <w:u w:val="single"/>
      <w:w w:val="100"/>
      <w:spacing w:val="0"/>
      <w:color w:val="000000"/>
      <w:position w:val="0"/>
    </w:rPr>
  </w:style>
  <w:style w:type="character" w:customStyle="1" w:styleId="CharStyle11">
    <w:name w:val="Заголовок №1_"/>
    <w:basedOn w:val="DefaultParagraphFont"/>
    <w:link w:val="Style10"/>
    <w:rPr>
      <w:lang w:val="en-US" w:eastAsia="en-US" w:bidi="en-US"/>
      <w:b w:val="0"/>
      <w:bCs w:val="0"/>
      <w:i w:val="0"/>
      <w:iCs w:val="0"/>
      <w:u w:val="none"/>
      <w:strike w:val="0"/>
      <w:smallCaps w:val="0"/>
      <w:sz w:val="94"/>
      <w:szCs w:val="94"/>
      <w:rFonts w:ascii="Times New Roman" w:eastAsia="Times New Roman" w:hAnsi="Times New Roman" w:cs="Times New Roman"/>
      <w:w w:val="66"/>
      <w:spacing w:val="10"/>
    </w:rPr>
  </w:style>
  <w:style w:type="character" w:customStyle="1" w:styleId="CharStyle12">
    <w:name w:val="Заголовок №1 + 28 pt,Масштаб 33%"/>
    <w:basedOn w:val="CharStyle11"/>
    <w:rPr>
      <w:sz w:val="56"/>
      <w:szCs w:val="56"/>
      <w:w w:val="33"/>
      <w:color w:val="000000"/>
      <w:position w:val="0"/>
    </w:rPr>
  </w:style>
  <w:style w:type="character" w:customStyle="1" w:styleId="CharStyle13">
    <w:name w:val="Заголовок №1 + 28 pt,Интервал 0 pt,Масштаб 100%"/>
    <w:basedOn w:val="CharStyle11"/>
    <w:rPr>
      <w:sz w:val="56"/>
      <w:szCs w:val="56"/>
      <w:w w:val="100"/>
      <w:spacing w:val="0"/>
      <w:color w:val="000000"/>
      <w:position w:val="0"/>
    </w:rPr>
  </w:style>
  <w:style w:type="character" w:customStyle="1" w:styleId="CharStyle15">
    <w:name w:val="Подпись к таблице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4"/>
    <w:rPr>
      <w:lang w:val="ru-RU" w:eastAsia="ru-RU" w:bidi="ru-RU"/>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line="0" w:lineRule="exact"/>
    </w:pPr>
    <w:rPr>
      <w:lang w:val="en-US" w:eastAsia="en-US" w:bidi="en-US"/>
      <w:b w:val="0"/>
      <w:bCs w:val="0"/>
      <w:i w:val="0"/>
      <w:iCs w:val="0"/>
      <w:u w:val="none"/>
      <w:strike w:val="0"/>
      <w:smallCaps w:val="0"/>
      <w:sz w:val="94"/>
      <w:szCs w:val="94"/>
      <w:rFonts w:ascii="Times New Roman" w:eastAsia="Times New Roman" w:hAnsi="Times New Roman" w:cs="Times New Roman"/>
      <w:w w:val="66"/>
      <w:spacing w:val="10"/>
    </w:rPr>
  </w:style>
  <w:style w:type="paragraph" w:customStyle="1" w:styleId="Style14">
    <w:name w:val="Подпись к таблице"/>
    <w:basedOn w:val="Normal"/>
    <w:link w:val="CharStyle15"/>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