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90"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6pt;height:60pt;">
            <v:imagedata r:id="rId5" r:href="rId6"/>
          </v:shape>
        </w:pict>
      </w:r>
    </w:p>
    <w:p>
      <w:pPr>
        <w:pStyle w:val="Style5"/>
        <w:framePr w:h="1190" w:wrap="notBeside" w:vAnchor="text" w:hAnchor="text" w:y="1"/>
        <w:widowControl w:val="0"/>
        <w:keepNext w:val="0"/>
        <w:keepLines w:val="0"/>
        <w:shd w:val="clear" w:color="auto" w:fill="auto"/>
        <w:bidi w:val="0"/>
        <w:jc w:val="left"/>
        <w:spacing w:before="0" w:after="0" w:line="180" w:lineRule="exact"/>
        <w:ind w:left="0" w:right="0" w:firstLine="0"/>
      </w:pPr>
      <w:r>
        <w:rPr>
          <w:w w:val="100"/>
          <w:spacing w:val="0"/>
          <w:color w:val="000000"/>
          <w:position w:val="0"/>
        </w:rPr>
        <w:t>-</w:t>
      </w:r>
      <w:r>
        <w:rPr>
          <w:vertAlign w:val="subscript"/>
          <w:w w:val="100"/>
          <w:spacing w:val="0"/>
          <w:color w:val="000000"/>
          <w:position w:val="0"/>
        </w:rPr>
        <w:t>v</w:t>
      </w:r>
      <w:r>
        <w:rPr>
          <w:w w:val="100"/>
          <w:spacing w:val="0"/>
          <w:color w:val="000000"/>
          <w:position w:val="0"/>
        </w:rPr>
        <w:t>—</w:t>
      </w:r>
    </w:p>
    <w:p>
      <w:pPr>
        <w:widowControl w:val="0"/>
        <w:rPr>
          <w:sz w:val="2"/>
          <w:szCs w:val="2"/>
        </w:rPr>
      </w:pPr>
    </w:p>
    <w:p>
      <w:pPr>
        <w:pStyle w:val="Style3"/>
        <w:framePr w:h="200" w:wrap="around" w:hAnchor="margin" w:x="8063" w:y="1703"/>
        <w:widowControl w:val="0"/>
        <w:keepNext w:val="0"/>
        <w:keepLines w:val="0"/>
        <w:shd w:val="clear" w:color="auto" w:fill="auto"/>
        <w:bidi w:val="0"/>
        <w:jc w:val="left"/>
        <w:spacing w:before="0" w:after="0" w:line="200" w:lineRule="exact"/>
        <w:ind w:left="100" w:right="0" w:firstLine="0"/>
      </w:pPr>
      <w:r>
        <w:rPr>
          <w:w w:val="100"/>
          <w:spacing w:val="0"/>
          <w:color w:val="000000"/>
          <w:position w:val="0"/>
        </w:rPr>
        <w:t>i</w:t>
      </w:r>
    </w:p>
    <w:p>
      <w:pPr>
        <w:pStyle w:val="Style7"/>
        <w:widowControl w:val="0"/>
        <w:keepNext w:val="0"/>
        <w:keepLines w:val="0"/>
        <w:shd w:val="clear" w:color="auto" w:fill="auto"/>
        <w:bidi w:val="0"/>
        <w:spacing w:before="0" w:after="0" w:line="130" w:lineRule="exact"/>
        <w:ind w:left="0" w:right="0" w:firstLine="0"/>
        <w:sectPr>
          <w:headerReference w:type="even" r:id="rId7"/>
          <w:footnotePr>
            <w:pos w:val="pageBottom"/>
            <w:numFmt w:val="decimal"/>
            <w:numRestart w:val="continuous"/>
          </w:footnotePr>
          <w:type w:val="continuous"/>
          <w:pgSz w:w="11909" w:h="16838"/>
          <w:pgMar w:top="748" w:left="2798" w:right="5088" w:bottom="772" w:header="0" w:footer="3" w:gutter="0"/>
          <w:rtlGutter w:val="0"/>
          <w:cols w:space="720"/>
          <w:noEndnote/>
          <w:docGrid w:linePitch="360"/>
        </w:sectPr>
      </w:pPr>
      <w:r>
        <w:rPr>
          <w:lang w:val="en-US" w:eastAsia="en-US" w:bidi="en-US"/>
          <w:w w:val="100"/>
          <w:color w:val="000000"/>
          <w:position w:val="0"/>
        </w:rPr>
        <w:t>I</w:t>
      </w:r>
      <w:r>
        <w:rPr>
          <w:lang w:val="ru-RU" w:eastAsia="ru-RU" w:bidi="ru-RU"/>
          <w:w w:val="100"/>
          <w:color w:val="000000"/>
          <w:position w:val="0"/>
        </w:rPr>
        <w:t>—у</w:t>
      </w:r>
    </w:p>
    <w:p>
      <w:pPr>
        <w:widowControl w:val="0"/>
        <w:spacing w:line="29" w:lineRule="exact"/>
        <w:rPr>
          <w:sz w:val="2"/>
          <w:szCs w:val="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187" w:wrap="around" w:vAnchor="text" w:hAnchor="margin" w:x="2111" w:y="3203"/>
        <w:widowControl w:val="0"/>
        <w:keepNext w:val="0"/>
        <w:keepLines w:val="0"/>
        <w:shd w:val="clear" w:color="auto" w:fill="auto"/>
        <w:bidi w:val="0"/>
        <w:jc w:val="left"/>
        <w:spacing w:before="0" w:after="0" w:line="170" w:lineRule="exact"/>
        <w:ind w:left="100" w:right="0" w:firstLine="0"/>
      </w:pPr>
      <w:r>
        <w:rPr>
          <w:rStyle w:val="CharStyle10"/>
          <w:spacing w:val="0"/>
        </w:rPr>
        <w:t>№</w:t>
      </w:r>
    </w:p>
    <w:p>
      <w:pPr>
        <w:pStyle w:val="Style9"/>
        <w:framePr w:h="170" w:wrap="around" w:vAnchor="text" w:hAnchor="margin" w:x="2126" w:y="3743"/>
        <w:widowControl w:val="0"/>
        <w:keepNext w:val="0"/>
        <w:keepLines w:val="0"/>
        <w:shd w:val="clear" w:color="auto" w:fill="auto"/>
        <w:bidi w:val="0"/>
        <w:jc w:val="left"/>
        <w:spacing w:before="0" w:after="0" w:line="170" w:lineRule="exact"/>
        <w:ind w:left="100" w:right="0" w:firstLine="0"/>
      </w:pPr>
      <w:r>
        <w:rPr>
          <w:rStyle w:val="CharStyle10"/>
          <w:spacing w:val="0"/>
        </w:rPr>
        <w:t>от</w:t>
      </w:r>
    </w:p>
    <w:p>
      <w:pPr>
        <w:widowControl w:val="0"/>
        <w:rPr>
          <w:sz w:val="2"/>
          <w:szCs w:val="2"/>
        </w:rPr>
      </w:pPr>
    </w:p>
    <w:p>
      <w:pPr>
        <w:pStyle w:val="Style11"/>
        <w:widowControl w:val="0"/>
        <w:keepNext/>
        <w:keepLines/>
        <w:shd w:val="clear" w:color="auto" w:fill="auto"/>
        <w:bidi w:val="0"/>
        <w:spacing w:before="0" w:after="95"/>
        <w:ind w:left="0" w:right="0" w:firstLine="0"/>
      </w:pPr>
      <w:bookmarkStart w:id="0" w:name="bookmark0"/>
      <w:r>
        <w:rPr>
          <w:lang w:val="ru-RU" w:eastAsia="ru-RU" w:bidi="ru-RU"/>
          <w:w w:val="100"/>
          <w:spacing w:val="0"/>
          <w:color w:val="000000"/>
          <w:position w:val="0"/>
        </w:rPr>
        <w:t>ФЕДЕРАЛЬНАЯ АН Т И МОН О П О Л ЬН АЯ С Л У Ж Б А УПРАВЛЕНИЕ Федеральной антимонопольной службы по Республике Крым и городу Севастополю (Крымское У ФАС России)</w:t>
      </w:r>
      <w:bookmarkEnd w:id="0"/>
    </w:p>
    <w:p>
      <w:pPr>
        <w:pStyle w:val="Style13"/>
        <w:widowControl w:val="0"/>
        <w:keepNext w:val="0"/>
        <w:keepLines w:val="0"/>
        <w:shd w:val="clear" w:color="auto" w:fill="auto"/>
        <w:bidi w:val="0"/>
        <w:spacing w:before="0" w:after="108"/>
        <w:ind w:left="0" w:right="0" w:firstLine="0"/>
      </w:pPr>
      <w:r>
        <w:rPr>
          <w:lang w:val="ru-RU" w:eastAsia="ru-RU" w:bidi="ru-RU"/>
          <w:w w:val="100"/>
          <w:spacing w:val="0"/>
          <w:color w:val="000000"/>
          <w:position w:val="0"/>
        </w:rPr>
        <w:t xml:space="preserve">ул. Александра Невского, д. 1, г. Симферополь, Республика Крым, 295000 тел. +7 (499) 755-23-23, лоб. 092-101 </w:t>
      </w:r>
      <w:r>
        <w:fldChar w:fldCharType="begin"/>
      </w:r>
      <w:r>
        <w:rPr>
          <w:rStyle w:val="CharStyle15"/>
        </w:rPr>
        <w:instrText> HYPERLINK "mailto:to92@tas-gov.ru" </w:instrText>
      </w:r>
      <w:r>
        <w:fldChar w:fldCharType="separate"/>
      </w:r>
      <w:r>
        <w:rPr>
          <w:rStyle w:val="Hyperlink"/>
        </w:rPr>
        <w:t>to92@tas-gov.ru</w:t>
      </w:r>
      <w:r>
        <w:fldChar w:fldCharType="end"/>
      </w:r>
      <w:r>
        <w:rPr>
          <w:rStyle w:val="CharStyle15"/>
        </w:rPr>
        <w:t xml:space="preserve"> </w:t>
      </w:r>
      <w:r>
        <w:fldChar w:fldCharType="begin"/>
      </w:r>
      <w:r>
        <w:rPr>
          <w:rStyle w:val="CharStyle15"/>
        </w:rPr>
        <w:instrText> HYPERLINK "http://www.krym" </w:instrText>
      </w:r>
      <w:r>
        <w:fldChar w:fldCharType="separate"/>
      </w:r>
      <w:r>
        <w:rPr>
          <w:rStyle w:val="Hyperlink"/>
        </w:rPr>
        <w:t>http://www</w:t>
      </w:r>
      <w:r>
        <w:rPr>
          <w:rStyle w:val="Hyperlink"/>
          <w:lang w:val="en-US" w:eastAsia="en-US" w:bidi="en-US"/>
          <w:w w:val="100"/>
          <w:spacing w:val="0"/>
          <w:position w:val="0"/>
        </w:rPr>
        <w:t>.krym</w:t>
      </w:r>
      <w:r>
        <w:fldChar w:fldCharType="end"/>
      </w:r>
      <w:r>
        <w:rPr>
          <w:lang w:val="ru-RU" w:eastAsia="ru-RU" w:bidi="ru-RU"/>
          <w:w w:val="100"/>
          <w:spacing w:val="0"/>
          <w:color w:val="000000"/>
          <w:position w:val="0"/>
        </w:rPr>
        <w:t xml:space="preserve">. </w:t>
      </w:r>
      <w:r>
        <w:rPr>
          <w:lang w:val="en-US" w:eastAsia="en-US" w:bidi="en-US"/>
          <w:w w:val="100"/>
          <w:spacing w:val="0"/>
          <w:color w:val="000000"/>
          <w:position w:val="0"/>
        </w:rPr>
        <w:t>faS.gov.ru</w:t>
      </w:r>
    </w:p>
    <w:p>
      <w:pPr>
        <w:pStyle w:val="Style16"/>
        <w:widowControl w:val="0"/>
        <w:keepNext/>
        <w:keepLines/>
        <w:shd w:val="clear" w:color="auto" w:fill="auto"/>
        <w:bidi w:val="0"/>
        <w:jc w:val="left"/>
        <w:spacing w:before="0" w:after="310" w:line="320" w:lineRule="exact"/>
        <w:ind w:left="0" w:right="0" w:firstLine="0"/>
      </w:pPr>
      <w:bookmarkStart w:id="1" w:name="bookmark1"/>
      <w:r>
        <w:rPr>
          <w:rStyle w:val="CharStyle18"/>
          <w:b/>
          <w:bCs/>
          <w:i/>
          <w:iCs/>
        </w:rPr>
        <w:t>99' Ш</w:t>
      </w:r>
      <w:bookmarkEnd w:id="1"/>
    </w:p>
    <w:p>
      <w:pPr>
        <w:pStyle w:val="Style19"/>
        <w:widowControl w:val="0"/>
        <w:keepNext/>
        <w:keepLines/>
        <w:shd w:val="clear" w:color="auto" w:fill="auto"/>
        <w:bidi w:val="0"/>
        <w:jc w:val="left"/>
        <w:spacing w:before="0" w:after="0" w:line="180" w:lineRule="exact"/>
        <w:ind w:left="0" w:right="0" w:firstLine="0"/>
      </w:pPr>
      <w:bookmarkStart w:id="2" w:name="bookmark2"/>
      <w:r>
        <w:rPr>
          <w:lang w:val="en-US" w:eastAsia="en-US" w:bidi="en-US"/>
          <w:w w:val="100"/>
          <w:spacing w:val="0"/>
          <w:color w:val="000000"/>
          <w:position w:val="0"/>
        </w:rPr>
        <w:t xml:space="preserve">la </w:t>
      </w:r>
      <w:r>
        <w:rPr>
          <w:lang w:val="ru-RU" w:eastAsia="ru-RU" w:bidi="ru-RU"/>
          <w:w w:val="100"/>
          <w:spacing w:val="0"/>
          <w:color w:val="000000"/>
          <w:position w:val="0"/>
        </w:rPr>
        <w:t>У</w:t>
      </w:r>
      <w:bookmarkEnd w:id="2"/>
    </w:p>
    <w:p>
      <w:pPr>
        <w:pStyle w:val="Style19"/>
        <w:widowControl w:val="0"/>
        <w:keepNext/>
        <w:keepLines/>
        <w:shd w:val="clear" w:color="auto" w:fill="auto"/>
        <w:bidi w:val="0"/>
        <w:jc w:val="left"/>
        <w:spacing w:before="0" w:after="0" w:line="278" w:lineRule="exact"/>
        <w:ind w:left="20" w:right="0" w:firstLine="0"/>
      </w:pPr>
      <w:bookmarkStart w:id="3" w:name="bookmark3"/>
      <w:r>
        <w:rPr>
          <w:rStyle w:val="CharStyle21"/>
        </w:rPr>
        <w:t>ЗАКАЗЧИК:</w:t>
      </w:r>
      <w:bookmarkEnd w:id="3"/>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бюджетное образовательное учреждение города Севастополя «Средняя общеобразовательная школа № 35 с углублённым изучением немецкого языка имени Героя Советского Союза Г.А. Абызова»</w:t>
      </w:r>
    </w:p>
    <w:p>
      <w:pPr>
        <w:pStyle w:val="Style9"/>
        <w:widowControl w:val="0"/>
        <w:keepNext w:val="0"/>
        <w:keepLines w:val="0"/>
        <w:shd w:val="clear" w:color="auto" w:fill="auto"/>
        <w:bidi w:val="0"/>
        <w:jc w:val="left"/>
        <w:spacing w:before="0" w:after="203"/>
        <w:ind w:left="20" w:right="100" w:firstLine="0"/>
      </w:pPr>
      <w:r>
        <w:rPr>
          <w:lang w:val="ru-RU" w:eastAsia="ru-RU" w:bidi="ru-RU"/>
          <w:w w:val="100"/>
          <w:spacing w:val="0"/>
          <w:color w:val="000000"/>
          <w:position w:val="0"/>
        </w:rPr>
        <w:t xml:space="preserve">99028, г. Севастополь, ул. Г’авена, д.20 </w:t>
      </w:r>
      <w:r>
        <w:rPr>
          <w:rStyle w:val="CharStyle23"/>
        </w:rPr>
        <w:t>sev</w:t>
      </w:r>
      <w:r>
        <w:rPr>
          <w:lang w:val="en-US" w:eastAsia="en-US" w:bidi="en-US"/>
          <w:w w:val="100"/>
          <w:spacing w:val="0"/>
          <w:color w:val="000000"/>
          <w:position w:val="0"/>
        </w:rPr>
        <w:t xml:space="preserve"> </w:t>
      </w:r>
      <w:r>
        <w:fldChar w:fldCharType="begin"/>
      </w:r>
      <w:r>
        <w:rPr>
          <w:color w:val="000000"/>
        </w:rPr>
        <w:instrText> HYPERLINK "mailto:scliool_35@mail.ru" </w:instrText>
      </w:r>
      <w:r>
        <w:fldChar w:fldCharType="separate"/>
      </w:r>
      <w:r>
        <w:rPr>
          <w:rStyle w:val="Hyperlink"/>
          <w:lang w:val="en-US" w:eastAsia="en-US" w:bidi="en-US"/>
          <w:w w:val="100"/>
          <w:spacing w:val="0"/>
          <w:position w:val="0"/>
        </w:rPr>
        <w:t>s</w:t>
      </w:r>
      <w:r>
        <w:rPr>
          <w:rStyle w:val="Hyperlink"/>
        </w:rPr>
        <w:t>clioo</w:t>
      </w:r>
      <w:r>
        <w:rPr>
          <w:rStyle w:val="Hyperlink"/>
          <w:lang w:val="en-US" w:eastAsia="en-US" w:bidi="en-US"/>
          <w:w w:val="100"/>
          <w:spacing w:val="0"/>
          <w:position w:val="0"/>
        </w:rPr>
        <w:t>l_</w:t>
      </w:r>
      <w:r>
        <w:rPr>
          <w:rStyle w:val="Hyperlink"/>
        </w:rPr>
        <w:t>35@ma</w:t>
      </w:r>
      <w:r>
        <w:rPr>
          <w:rStyle w:val="Hyperlink"/>
          <w:lang w:val="en-US" w:eastAsia="en-US" w:bidi="en-US"/>
          <w:w w:val="100"/>
          <w:spacing w:val="0"/>
          <w:position w:val="0"/>
        </w:rPr>
        <w:t>il.</w:t>
      </w:r>
      <w:r>
        <w:rPr>
          <w:rStyle w:val="Hyperlink"/>
        </w:rPr>
        <w:t>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3"/>
          <w:lang w:val="ru-RU" w:eastAsia="ru-RU" w:bidi="ru-RU"/>
        </w:rPr>
        <w:t>УПОЛНОМОЧЕННЫЙ ОРГАН:</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Департамент управления делами</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губернатора и правительства</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Севастополя</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Ленина, дом 2</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Севастополь, 29901 1</w:t>
      </w:r>
    </w:p>
    <w:p>
      <w:pPr>
        <w:pStyle w:val="Style11"/>
        <w:widowControl w:val="0"/>
        <w:keepNext/>
        <w:keepLines/>
        <w:shd w:val="clear" w:color="auto" w:fill="auto"/>
        <w:bidi w:val="0"/>
        <w:jc w:val="left"/>
        <w:spacing w:before="0" w:after="227" w:line="278" w:lineRule="exact"/>
        <w:ind w:left="20" w:right="0" w:firstLine="0"/>
      </w:pPr>
      <w:r>
        <w:fldChar w:fldCharType="begin"/>
      </w:r>
      <w:r>
        <w:rPr>
          <w:color w:val="000000"/>
        </w:rPr>
        <w:instrText> HYPERLINK "mailto:t.podlesnaya@sev.gov.ru" </w:instrText>
      </w:r>
      <w:r>
        <w:fldChar w:fldCharType="separate"/>
      </w:r>
      <w:bookmarkStart w:id="4" w:name="bookmark4"/>
      <w:r>
        <w:rPr>
          <w:rStyle w:val="Hyperlink"/>
          <w:lang w:val="en-US" w:eastAsia="en-US" w:bidi="en-US"/>
          <w:w w:val="100"/>
          <w:spacing w:val="0"/>
          <w:position w:val="0"/>
        </w:rPr>
        <w:t>t.</w:t>
      </w:r>
      <w:r>
        <w:rPr>
          <w:rStyle w:val="Hyperlink"/>
        </w:rPr>
        <w:t>podlesnaya@sev.gov.ru</w:t>
      </w:r>
      <w:bookmarkEnd w:id="4"/>
      <w:r>
        <w:fldChar w:fldCharType="end"/>
      </w:r>
    </w:p>
    <w:p>
      <w:pPr>
        <w:pStyle w:val="Style25"/>
        <w:widowControl w:val="0"/>
        <w:keepNext w:val="0"/>
        <w:keepLines w:val="0"/>
        <w:shd w:val="clear" w:color="auto" w:fill="auto"/>
        <w:bidi w:val="0"/>
        <w:jc w:val="left"/>
        <w:spacing w:before="0" w:after="0" w:line="220" w:lineRule="exact"/>
        <w:ind w:left="20" w:right="0" w:firstLine="0"/>
      </w:pPr>
      <w:r>
        <w:rPr>
          <w:rStyle w:val="CharStyle27"/>
        </w:rPr>
        <w:t>ЗАЯВИТЕЛЬ:</w:t>
      </w:r>
    </w:p>
    <w:p>
      <w:pPr>
        <w:pStyle w:val="Style11"/>
        <w:widowControl w:val="0"/>
        <w:keepNext/>
        <w:keepLines/>
        <w:shd w:val="clear" w:color="auto" w:fill="auto"/>
        <w:bidi w:val="0"/>
        <w:jc w:val="left"/>
        <w:spacing w:before="0" w:after="0" w:line="298" w:lineRule="exact"/>
        <w:ind w:left="20" w:right="0" w:firstLine="0"/>
        <w:sectPr>
          <w:type w:val="continuous"/>
          <w:pgSz w:w="11909" w:h="16838"/>
          <w:pgMar w:top="748" w:left="1003" w:right="1315" w:bottom="772" w:header="0" w:footer="3" w:gutter="0"/>
          <w:rtlGutter w:val="0"/>
          <w:cols w:num="2" w:space="720" w:equalWidth="0">
            <w:col w:w="4771" w:space="1152"/>
            <w:col w:w="3667"/>
          </w:cols>
          <w:noEndnote/>
          <w:docGrid w:linePitch="360"/>
        </w:sectPr>
      </w:pPr>
      <w:bookmarkStart w:id="5" w:name="bookmark5"/>
      <w:r>
        <w:rPr>
          <w:lang w:val="ru-RU" w:eastAsia="ru-RU" w:bidi="ru-RU"/>
          <w:w w:val="100"/>
          <w:spacing w:val="0"/>
          <w:color w:val="000000"/>
          <w:position w:val="0"/>
        </w:rPr>
        <w:t xml:space="preserve">Индивидуальный предприниматель Артеменко А.С. </w:t>
      </w:r>
      <w:r>
        <w:fldChar w:fldCharType="begin"/>
      </w:r>
      <w:r>
        <w:rPr>
          <w:rStyle w:val="CharStyle28"/>
        </w:rPr>
        <w:instrText> HYPERLINK "mailto:artempartem@rambler.ru" </w:instrText>
      </w:r>
      <w:r>
        <w:fldChar w:fldCharType="separate"/>
      </w:r>
      <w:r>
        <w:rPr>
          <w:rStyle w:val="Hyperlink"/>
        </w:rPr>
        <w:t>artempartem@rambler.ru</w:t>
      </w:r>
      <w:bookmarkEnd w:id="5"/>
      <w:r>
        <w:fldChar w:fldCharType="end"/>
      </w:r>
    </w:p>
    <w:p>
      <w:pPr>
        <w:widowControl w:val="0"/>
        <w:spacing w:before="14" w:after="1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770" w:line="312" w:lineRule="exact"/>
        <w:ind w:left="6100" w:right="740" w:firstLine="0"/>
      </w:pPr>
      <w:r>
        <w:rPr>
          <w:rStyle w:val="CharStyle27"/>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 ул. Кожевническая, д. 14. стр. 5 г. Москва, 115114,</w:t>
      </w:r>
    </w:p>
    <w:p>
      <w:pPr>
        <w:pStyle w:val="Style9"/>
        <w:widowControl w:val="0"/>
        <w:keepNext w:val="0"/>
        <w:keepLines w:val="0"/>
        <w:shd w:val="clear" w:color="auto" w:fill="auto"/>
        <w:bidi w:val="0"/>
        <w:jc w:val="left"/>
        <w:spacing w:before="0" w:after="0" w:line="250" w:lineRule="exact"/>
        <w:ind w:left="4780" w:right="0" w:firstLine="0"/>
      </w:pPr>
      <w:r>
        <w:rPr>
          <w:lang w:val="ru-RU" w:eastAsia="ru-RU" w:bidi="ru-RU"/>
          <w:w w:val="100"/>
          <w:spacing w:val="0"/>
          <w:color w:val="000000"/>
          <w:position w:val="0"/>
        </w:rPr>
        <w:t>РЕШЕНИЕ</w:t>
      </w:r>
    </w:p>
    <w:p>
      <w:pPr>
        <w:pStyle w:val="Style9"/>
        <w:widowControl w:val="0"/>
        <w:keepNext w:val="0"/>
        <w:keepLines w:val="0"/>
        <w:shd w:val="clear" w:color="auto" w:fill="auto"/>
        <w:bidi w:val="0"/>
        <w:jc w:val="left"/>
        <w:spacing w:before="0" w:after="0" w:line="250" w:lineRule="exact"/>
        <w:ind w:left="3060" w:right="2840" w:firstLine="140"/>
      </w:pPr>
      <w:r>
        <w:rPr>
          <w:lang w:val="ru-RU" w:eastAsia="ru-RU" w:bidi="ru-RU"/>
          <w:w w:val="100"/>
          <w:spacing w:val="0"/>
          <w:color w:val="000000"/>
          <w:position w:val="0"/>
        </w:rPr>
        <w:t>по делу № 092/06/105-201/2022 о нарушении законодательства об осуществлении закупок</w:t>
      </w:r>
    </w:p>
    <w:p>
      <w:pPr>
        <w:pStyle w:val="Style9"/>
        <w:widowControl w:val="0"/>
        <w:keepNext w:val="0"/>
        <w:keepLines w:val="0"/>
        <w:shd w:val="clear" w:color="auto" w:fill="auto"/>
        <w:bidi w:val="0"/>
        <w:jc w:val="left"/>
        <w:spacing w:before="0" w:after="0" w:line="250" w:lineRule="exact"/>
        <w:ind w:left="7940" w:right="0" w:firstLine="0"/>
      </w:pPr>
      <w:r>
        <w:rPr>
          <w:lang w:val="ru-RU" w:eastAsia="ru-RU" w:bidi="ru-RU"/>
          <w:w w:val="100"/>
          <w:spacing w:val="0"/>
          <w:color w:val="000000"/>
          <w:position w:val="0"/>
        </w:rPr>
        <w:t>г. Севастополь</w:t>
      </w:r>
    </w:p>
    <w:p>
      <w:pPr>
        <w:pStyle w:val="Style9"/>
        <w:widowControl w:val="0"/>
        <w:keepNext w:val="0"/>
        <w:keepLines w:val="0"/>
        <w:shd w:val="clear" w:color="auto" w:fill="auto"/>
        <w:bidi w:val="0"/>
        <w:jc w:val="both"/>
        <w:spacing w:before="0" w:after="0" w:line="250" w:lineRule="exact"/>
        <w:ind w:left="20" w:right="0" w:firstLine="720"/>
      </w:pPr>
      <w:r>
        <w:rPr>
          <w:lang w:val="ru-RU" w:eastAsia="ru-RU" w:bidi="ru-RU"/>
          <w:w w:val="100"/>
          <w:spacing w:val="0"/>
          <w:color w:val="000000"/>
          <w:position w:val="0"/>
        </w:rPr>
        <w:t>Резолютивная часть решения объявлена 08 августа 2022 года.</w:t>
      </w:r>
    </w:p>
    <w:p>
      <w:pPr>
        <w:pStyle w:val="Style9"/>
        <w:widowControl w:val="0"/>
        <w:keepNext w:val="0"/>
        <w:keepLines w:val="0"/>
        <w:shd w:val="clear" w:color="auto" w:fill="auto"/>
        <w:bidi w:val="0"/>
        <w:jc w:val="both"/>
        <w:spacing w:before="0" w:after="0" w:line="250" w:lineRule="exact"/>
        <w:ind w:left="20" w:right="0" w:firstLine="720"/>
      </w:pPr>
      <w:r>
        <w:rPr>
          <w:lang w:val="ru-RU" w:eastAsia="ru-RU" w:bidi="ru-RU"/>
          <w:w w:val="100"/>
          <w:spacing w:val="0"/>
          <w:color w:val="000000"/>
          <w:position w:val="0"/>
        </w:rPr>
        <w:t>Решение изготовлено в полном объеме 09 августа 2022 года.</w:t>
      </w:r>
    </w:p>
    <w:p>
      <w:pPr>
        <w:pStyle w:val="Style9"/>
        <w:widowControl w:val="0"/>
        <w:keepNext w:val="0"/>
        <w:keepLines w:val="0"/>
        <w:shd w:val="clear" w:color="auto" w:fill="auto"/>
        <w:bidi w:val="0"/>
        <w:jc w:val="both"/>
        <w:spacing w:before="0" w:after="0" w:line="250" w:lineRule="exact"/>
        <w:ind w:left="20" w:right="20" w:firstLine="72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w:t>
      </w:r>
      <w:r>
        <w:rPr>
          <w:rStyle w:val="CharStyle29"/>
        </w:rPr>
        <w:t xml:space="preserve">(далее </w:t>
      </w:r>
      <w:r>
        <w:rPr>
          <w:lang w:val="ru-RU" w:eastAsia="ru-RU" w:bidi="ru-RU"/>
          <w:w w:val="100"/>
          <w:spacing w:val="0"/>
          <w:color w:val="000000"/>
          <w:position w:val="0"/>
        </w:rPr>
        <w:t>-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Носова К.В. - специалист-эксперт Отдела Управления, член Комиссии, при очном участии представителя Государственного бюджетного образовательного учреждения города Севастополя «Средняя общеобразовательная школа № 35 с углублённым изучением немецкого языка имен!</w:t>
      </w:r>
      <w:r>
        <w:rPr>
          <w:lang w:val="en-US" w:eastAsia="en-US" w:bidi="en-US"/>
          <w:w w:val="100"/>
          <w:spacing w:val="0"/>
          <w:color w:val="000000"/>
          <w:position w:val="0"/>
        </w:rPr>
        <w:t xml:space="preserve">i </w:t>
      </w:r>
      <w:r>
        <w:rPr>
          <w:lang w:val="ru-RU" w:eastAsia="ru-RU" w:bidi="ru-RU"/>
          <w:w w:val="100"/>
          <w:spacing w:val="0"/>
          <w:color w:val="000000"/>
          <w:position w:val="0"/>
        </w:rPr>
        <w:t>Героя Советского Союза Г.А. Абызова»: Внукова Д.Е. (доверенность №2 от 01.08.2022г.), представите г Департамента управления делами губернатора и правительства Севастополя: Зориной О.В. (доверенное г:</w:t>
        <w:br w:type="page"/>
        <w:t>№4 от 17.01.2022г.), представителя Индивидуального предпринимателя Артеменко А.С.: Анцевой О.Н. (доверенность №17 от 04.08.2021г.), рассмотрев жалобу Индивидуального предпринимателя Артеменко А.С. (далее - Заявитель) на действия Государственного бюджетного образовательного учреждения города Севастополя «Средняя общеобразовательная школа № 35 с углублённым изучением немецкого языка имени Героя Советского Союза Г.А. Абызова» (далее - Заказчик) при проведении открытого конкурса в электронной форме на оказание услуг по организации бесплатного горячего питания для обучающихся получающих общее образование, извещение №0174500001122002710 (далее - Закупка), рассмотрщ представленные сторонами материалы, в соответствии со статьями 99, 106 Федерального закона от 2013 года №44-ФЗ «О контрактной системе в сфере закупок товаров, работ, услуг для обе-.: государственных и муниципальных нужд» (далее - Закон о контрактной системе), руководствуясь Приказо:, ФАС России от 19 ноября 2014 года№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9"/>
        <w:widowControl w:val="0"/>
        <w:keepNext w:val="0"/>
        <w:keepLines w:val="0"/>
        <w:shd w:val="clear" w:color="auto" w:fill="auto"/>
        <w:bidi w:val="0"/>
        <w:jc w:val="left"/>
        <w:spacing w:before="0" w:after="0" w:line="250" w:lineRule="exact"/>
        <w:ind w:left="466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 xml:space="preserve">Извещение о проведении Конкурса, протоколы заседаний Конкурсной комиссии размещены на официальном сайте </w:t>
      </w:r>
      <w:r>
        <w:fldChar w:fldCharType="begin"/>
      </w:r>
      <w:r>
        <w:rPr>
          <w:rStyle w:val="CharStyle23"/>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33"/>
        <w:widowControl w:val="0"/>
        <w:keepNext w:val="0"/>
        <w:keepLines w:val="0"/>
        <w:shd w:val="clear" w:color="auto" w:fill="auto"/>
        <w:bidi w:val="0"/>
        <w:jc w:val="left"/>
        <w:spacing w:before="0" w:after="0"/>
        <w:ind w:left="20" w:right="20" w:firstLine="700"/>
      </w:pPr>
      <w:r>
        <w:rPr>
          <w:rStyle w:val="CharStyle35"/>
          <w:i w:val="0"/>
          <w:iCs w:val="0"/>
        </w:rPr>
        <w:t xml:space="preserve">По мнению Заявителя, аукционная комиссия Заказчика неправомерно признала победителем конкурса участника №3 - ООО «Виктория». Заявитель в своей жалобе указал следующее: </w:t>
      </w:r>
      <w:r>
        <w:rPr>
          <w:lang w:val="ru-RU" w:eastAsia="ru-RU" w:bidi="ru-RU"/>
          <w:w w:val="100"/>
          <w:spacing w:val="0"/>
          <w:color w:val="000000"/>
          <w:position w:val="0"/>
        </w:rPr>
        <w:t xml:space="preserve">«...Комиссией </w:t>
      </w:r>
      <w:r>
        <w:rPr>
          <w:rStyle w:val="CharStyle36"/>
          <w:i/>
          <w:iCs/>
        </w:rPr>
        <w:t xml:space="preserve">по </w:t>
      </w:r>
      <w:r>
        <w:rPr>
          <w:lang w:val="ru-RU" w:eastAsia="ru-RU" w:bidi="ru-RU"/>
          <w:w w:val="100"/>
          <w:spacing w:val="0"/>
          <w:color w:val="000000"/>
          <w:position w:val="0"/>
        </w:rPr>
        <w:t xml:space="preserve">осуществлению закупок ГБОУ </w:t>
      </w:r>
      <w:r>
        <w:rPr>
          <w:lang w:val="en-US" w:eastAsia="en-US" w:bidi="en-US"/>
          <w:w w:val="100"/>
          <w:spacing w:val="0"/>
          <w:color w:val="000000"/>
          <w:position w:val="0"/>
        </w:rPr>
        <w:t xml:space="preserve">COUI </w:t>
      </w:r>
      <w:r>
        <w:rPr>
          <w:lang w:val="ru-RU" w:eastAsia="ru-RU" w:bidi="ru-RU"/>
          <w:w w:val="100"/>
          <w:spacing w:val="0"/>
          <w:color w:val="000000"/>
          <w:position w:val="0"/>
        </w:rPr>
        <w:t xml:space="preserve">№35 при оценке заявок участников нарушены положения ч. 8 ст. 32 1о контрактной системе в части порядка оценки заявок на участие в закупке, установленного Пост Правительства РФ от 31.12.2021 </w:t>
      </w:r>
      <w:r>
        <w:rPr>
          <w:lang w:val="en-US" w:eastAsia="en-US" w:bidi="en-US"/>
          <w:w w:val="100"/>
          <w:spacing w:val="0"/>
          <w:color w:val="000000"/>
          <w:position w:val="0"/>
        </w:rPr>
        <w:t xml:space="preserve">N2604 </w:t>
      </w:r>
      <w:r>
        <w:rPr>
          <w:lang w:val="ru-RU" w:eastAsia="ru-RU" w:bidi="ru-RU"/>
          <w:w w:val="100"/>
          <w:spacing w:val="0"/>
          <w:color w:val="000000"/>
          <w:position w:val="0"/>
        </w:rPr>
        <w:t xml:space="preserve">"Об оценке заявок на участие в закупке товаров, работ, услуг </w:t>
      </w:r>
      <w:r>
        <w:rPr>
          <w:rStyle w:val="CharStyle36"/>
          <w:i/>
          <w:iCs/>
        </w:rPr>
        <w:t>для</w:t>
      </w:r>
      <w:r>
        <w:rPr>
          <w:rStyle w:val="CharStyle35"/>
          <w:i w:val="0"/>
          <w:iCs w:val="0"/>
        </w:rPr>
        <w:t xml:space="preserve"> </w:t>
      </w:r>
      <w:r>
        <w:rPr>
          <w:rStyle w:val="CharStyle37"/>
          <w:i w:val="0"/>
          <w:iCs w:val="0"/>
        </w:rPr>
        <w:t xml:space="preserve">&lt; </w:t>
      </w:r>
      <w:r>
        <w:rPr>
          <w:lang w:val="ru-RU" w:eastAsia="ru-RU" w:bidi="ru-RU"/>
          <w:w w:val="100"/>
          <w:spacing w:val="0"/>
          <w:color w:val="000000"/>
          <w:position w:val="0"/>
        </w:rPr>
        <w:t>государственных и муниципальных нужд, внесении изменений в пункт 4 постановления Правительства Росс ни., &gt;</w:t>
      </w:r>
      <w:r>
        <w:rPr>
          <w:rStyle w:val="CharStyle37"/>
          <w:i w:val="0"/>
          <w:iCs w:val="0"/>
        </w:rPr>
        <w:t xml:space="preserve"> &lt; </w:t>
      </w:r>
      <w:r>
        <w:rPr>
          <w:lang w:val="ru-RU" w:eastAsia="ru-RU" w:bidi="ru-RU"/>
          <w:w w:val="100"/>
          <w:spacing w:val="0"/>
          <w:color w:val="000000"/>
          <w:position w:val="0"/>
        </w:rPr>
        <w:t xml:space="preserve">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 (далее - ППРФ №2604).</w:t>
      </w:r>
    </w:p>
    <w:p>
      <w:pPr>
        <w:pStyle w:val="Style3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Так. согласно Порядку рассмотрения и оценки заявок на участие в конкурсе (далее - Порядок) по нестоимостному критерию «Квалификация участников закупки» заказчиком установлен показатель «Наличие у участников закупки опыта поставки товара, выполнения работы, оказания услуги, связанного с предметом контракта». Данный показатель детализирован через Признак №1 (Общая сумма контрактов на поставку продуктов питания, организацию услуг питания (с реестровыми номерами из Реестра контрактов или Реестра договоров) в </w:t>
      </w:r>
      <w:r>
        <w:rPr>
          <w:rStyle w:val="CharStyle38"/>
          <w:i/>
          <w:iCs/>
        </w:rPr>
        <w:t xml:space="preserve">образовательных учреждениях). Предмет контракта (договора), оцениваемого </w:t>
      </w:r>
      <w:r>
        <w:rPr>
          <w:lang w:val="ru-RU" w:eastAsia="ru-RU" w:bidi="ru-RU"/>
          <w:w w:val="100"/>
          <w:spacing w:val="0"/>
          <w:color w:val="000000"/>
          <w:position w:val="0"/>
        </w:rPr>
        <w:t xml:space="preserve">по </w:t>
      </w:r>
      <w:r>
        <w:rPr>
          <w:rStyle w:val="CharStyle38"/>
          <w:i/>
          <w:iCs/>
        </w:rPr>
        <w:t xml:space="preserve">детализирующему </w:t>
      </w:r>
      <w:r>
        <w:rPr>
          <w:lang w:val="ru-RU" w:eastAsia="ru-RU" w:bidi="ru-RU"/>
          <w:w w:val="100"/>
          <w:spacing w:val="0"/>
          <w:color w:val="000000"/>
          <w:position w:val="0"/>
        </w:rPr>
        <w:t>показателю, должен быть сопоставим с предметом контракта (договора), заключаемого по результатам определения исполнителя на поставку продуктов питания и организации услуг общественного питания для образовательных организаций.</w:t>
      </w:r>
    </w:p>
    <w:p>
      <w:pPr>
        <w:pStyle w:val="Style3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подтверждающего документа) контракты (гражданско-правовые договоры) в том числе заключенные и исполненные в соответствии с Законом о контрактной системе и Законом о закупках), а также иные гражданско-правовые договоры. Услугами сопоставимого характера признаются услуги (работы) общественного питания (пост</w:t>
      </w:r>
      <w:r>
        <w:rPr>
          <w:rStyle w:val="CharStyle37"/>
          <w:i w:val="0"/>
          <w:iCs w:val="0"/>
        </w:rPr>
        <w:t xml:space="preserve"> </w:t>
      </w:r>
      <w:r>
        <w:rPr>
          <w:rStyle w:val="CharStyle37"/>
          <w:lang w:val="en-US" w:eastAsia="en-US" w:bidi="en-US"/>
          <w:i w:val="0"/>
          <w:iCs w:val="0"/>
        </w:rPr>
        <w:t xml:space="preserve">v </w:t>
      </w:r>
      <w:r>
        <w:rPr>
          <w:rStyle w:val="CharStyle37"/>
          <w:i w:val="0"/>
          <w:iCs w:val="0"/>
        </w:rPr>
        <w:t xml:space="preserve">, - </w:t>
      </w:r>
      <w:r>
        <w:rPr>
          <w:lang w:val="ru-RU" w:eastAsia="ru-RU" w:bidi="ru-RU"/>
          <w:w w:val="100"/>
          <w:spacing w:val="0"/>
          <w:color w:val="000000"/>
          <w:position w:val="0"/>
        </w:rPr>
        <w:t>продуктов питания) для образовательных организаций.</w:t>
      </w:r>
    </w:p>
    <w:p>
      <w:pPr>
        <w:pStyle w:val="Style33"/>
        <w:widowControl w:val="0"/>
        <w:keepNext w:val="0"/>
        <w:keepLines w:val="0"/>
        <w:shd w:val="clear" w:color="auto" w:fill="auto"/>
        <w:bidi w:val="0"/>
        <w:jc w:val="left"/>
        <w:spacing w:before="0" w:after="0"/>
        <w:ind w:left="20" w:right="540" w:firstLine="700"/>
      </w:pPr>
      <w:r>
        <w:rPr>
          <w:lang w:val="ru-RU" w:eastAsia="ru-RU" w:bidi="ru-RU"/>
          <w:w w:val="100"/>
          <w:spacing w:val="0"/>
          <w:color w:val="000000"/>
          <w:position w:val="0"/>
        </w:rPr>
        <w:t xml:space="preserve">Последний акт, составленный при исполнении такого контракта (договора), должен быть </w:t>
      </w:r>
      <w:r>
        <w:rPr>
          <w:rStyle w:val="CharStyle36"/>
          <w:i/>
          <w:iCs/>
        </w:rPr>
        <w:t>подти</w:t>
      </w:r>
      <w:r>
        <w:rPr>
          <w:rStyle w:val="CharStyle35"/>
          <w:i w:val="0"/>
          <w:iCs w:val="0"/>
        </w:rPr>
        <w:t xml:space="preserve"> </w:t>
      </w:r>
      <w:r>
        <w:rPr>
          <w:rStyle w:val="CharStyle37"/>
          <w:lang w:val="en-US" w:eastAsia="en-US" w:bidi="en-US"/>
          <w:i w:val="0"/>
          <w:iCs w:val="0"/>
        </w:rPr>
        <w:t xml:space="preserve">i </w:t>
      </w:r>
      <w:r>
        <w:rPr>
          <w:lang w:val="ru-RU" w:eastAsia="ru-RU" w:bidi="ru-RU"/>
          <w:w w:val="100"/>
          <w:spacing w:val="0"/>
          <w:color w:val="000000"/>
          <w:position w:val="0"/>
        </w:rPr>
        <w:t xml:space="preserve">чем за 5 лет до даты окончания срока подачи заявок. Должны быть представлены все акты приемки </w:t>
      </w:r>
      <w:r>
        <w:rPr>
          <w:rStyle w:val="CharStyle36"/>
          <w:i/>
          <w:iCs/>
        </w:rPr>
        <w:t>оказан,</w:t>
      </w:r>
      <w:r>
        <w:rPr>
          <w:rStyle w:val="CharStyle35"/>
          <w:i w:val="0"/>
          <w:iCs w:val="0"/>
        </w:rPr>
        <w:t xml:space="preserve"> </w:t>
      </w:r>
      <w:r>
        <w:rPr>
          <w:rStyle w:val="CharStyle37"/>
          <w:i w:val="0"/>
          <w:iCs w:val="0"/>
        </w:rPr>
        <w:t xml:space="preserve">■ </w:t>
      </w:r>
      <w:r>
        <w:rPr>
          <w:lang w:val="ru-RU" w:eastAsia="ru-RU" w:bidi="ru-RU"/>
          <w:w w:val="100"/>
          <w:spacing w:val="0"/>
          <w:color w:val="000000"/>
          <w:position w:val="0"/>
        </w:rPr>
        <w:t>(поставки товаров продуктов питания), составленные при исполнении контракта (договора).</w:t>
      </w:r>
    </w:p>
    <w:p>
      <w:pPr>
        <w:pStyle w:val="Style3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Победителем определения поставщика признан участник, заявке которого присвоен порядковый номер 3. Как следует из информации, опубликованной в ЕИС, этим участником является общество с ограниченной ответственностью «ВИКТОРИЯ» (ИНН 6155075320).</w:t>
      </w:r>
    </w:p>
    <w:p>
      <w:pPr>
        <w:pStyle w:val="Style3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Анализ информации из открытых источников позволяет сделать вывод о том, что комиссией по осуществлению закупок заказчика в нарушение установленных критериев к учету по показателю «Наличие у участников закупки опыта поставки товара, выполнения работы, оказания услуги, связанного с предметом контракта» Порядка были приняты все контракты и договоры, заключенные ООО «ВИКТОРИЯ». В то же время Порядок требует принимать к учету контракты (договоры), предметом которых является поставка продуктов питания и организация услуг общественного питания для образовательных организаций.</w:t>
      </w:r>
    </w:p>
    <w:p>
      <w:pPr>
        <w:pStyle w:val="Style3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ДЛЯ СПРАВКИ:</w:t>
      </w:r>
    </w:p>
    <w:p>
      <w:pPr>
        <w:pStyle w:val="Style3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реестре контрактов, заключенных и исполненных в соответствии с Законом о контрактной системе, и в реестре договоров, заключенных и исполненных в соответствии с Федеральным законом "О закупках товаров, работ, услуг отдельными видами юридических лиц", в отношении исполненных ООО «ВИКТОРИЯ» контрактов (гражданско- правовых договоров) содержится следующая информация:</w:t>
      </w:r>
    </w:p>
    <w:p>
      <w:pPr>
        <w:pStyle w:val="Style3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реестре договоров по 223-ФЗ</w:t>
      </w:r>
      <w:r>
        <w:rPr>
          <w:rStyle w:val="CharStyle37"/>
          <w:i w:val="0"/>
          <w:iCs w:val="0"/>
        </w:rPr>
        <w:t xml:space="preserve"> — </w:t>
      </w:r>
      <w:r>
        <w:rPr>
          <w:lang w:val="ru-RU" w:eastAsia="ru-RU" w:bidi="ru-RU"/>
          <w:w w:val="100"/>
          <w:spacing w:val="0"/>
          <w:color w:val="000000"/>
          <w:position w:val="0"/>
        </w:rPr>
        <w:t>исполненных договоров нет:</w:t>
      </w:r>
    </w:p>
    <w:p>
      <w:pPr>
        <w:pStyle w:val="Style3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реестре контрактов по 44-ФЗ - за период с 25.07.2017 по 25.07.2022 год (за 5 лет до даты подачи заявки) :</w:t>
      </w:r>
      <w:r>
        <w:rPr>
          <w:rStyle w:val="CharStyle37"/>
          <w:i w:val="0"/>
          <w:iCs w:val="0"/>
        </w:rPr>
        <w:t xml:space="preserve"> </w:t>
      </w:r>
      <w:r>
        <w:rPr>
          <w:rStyle w:val="CharStyle39"/>
          <w:i/>
          <w:iCs/>
        </w:rPr>
        <w:t>&lt;зацепы</w:t>
      </w:r>
      <w:r>
        <w:rPr>
          <w:lang w:val="ru-RU" w:eastAsia="ru-RU" w:bidi="ru-RU"/>
          <w:w w:val="100"/>
          <w:spacing w:val="0"/>
          <w:color w:val="000000"/>
          <w:position w:val="0"/>
        </w:rPr>
        <w:t xml:space="preserve"> сведения о заключенных 73 контрактах с образовательными организациями на общую сумму 46 684 571,97 руб. При этом сумма исполненных обязательств по указанным контрактам составляет </w:t>
      </w:r>
      <w:r>
        <w:rPr>
          <w:rStyle w:val="CharStyle39"/>
          <w:i/>
          <w:iCs/>
        </w:rPr>
        <w:t>38311</w:t>
      </w:r>
      <w:r>
        <w:rPr>
          <w:lang w:val="ru-RU" w:eastAsia="ru-RU" w:bidi="ru-RU"/>
          <w:w w:val="100"/>
          <w:spacing w:val="0"/>
          <w:color w:val="000000"/>
          <w:position w:val="0"/>
        </w:rPr>
        <w:t xml:space="preserve"> 060,86 руб.</w:t>
      </w:r>
    </w:p>
    <w:p>
      <w:pPr>
        <w:pStyle w:val="Style3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Подробный анализ с указанием реестровых номеров контрактов, сумм заключенных контрактов и сумм исполненных обязательств приведен в таблице: (приложена в материалах жалобы).</w:t>
      </w:r>
    </w:p>
    <w:p>
      <w:pPr>
        <w:pStyle w:val="Style3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Таким образом, согласно сведениям, размещенным в ЕИС, ООО «ВИКТОРИЯ» могла предоставить сведения об исполнении контрактов (гражданско-правовых договоров), заключенных и исполненных в соответствии с Законом</w:t>
      </w:r>
    </w:p>
    <w:p>
      <w:pPr>
        <w:pStyle w:val="Style33"/>
        <w:numPr>
          <w:ilvl w:val="0"/>
          <w:numId w:val="1"/>
        </w:numPr>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 контрактной системе и Законом о закупках на сумму не более 38 311 060,86 руб.</w:t>
      </w:r>
    </w:p>
    <w:p>
      <w:pPr>
        <w:pStyle w:val="Style3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то же время, согласно Протокола подведения итогов определения поставщика от 27.07.2022, общая сумма исполненных обязательств по поставке продуктов питания и организации услуг общественного питания для образовательных организаций у ООО «ВИКТОРИЯ» составипа 95 423 247,29 руб. Следовательно, разница в сумме 57 112 186,43 руб. приходится на исполнение гражданско-правовых договоров вне рамок 44-ФЗ и 223-ФЗ. Однако, учитывая, что образовательные организации являются бюджетными, казенными либо автономными учреждениями, их закупочная деятельность и, соответственно, заключение контрактов/договоров, регламентированы 44-ФЗ либо 223-ФЗ. Следовательно, сведения о таких контрактах/договорах (за небольшим исключением) должны содержаться в соответствующих реестрах и размещаться в ЕИС.</w:t>
      </w:r>
    </w:p>
    <w:p>
      <w:pPr>
        <w:pStyle w:val="Style33"/>
        <w:widowControl w:val="0"/>
        <w:keepNext w:val="0"/>
        <w:keepLines w:val="0"/>
        <w:shd w:val="clear" w:color="auto" w:fill="auto"/>
        <w:bidi w:val="0"/>
        <w:jc w:val="right"/>
        <w:spacing w:before="0" w:after="0"/>
        <w:ind w:left="40" w:right="20" w:firstLine="0"/>
      </w:pPr>
      <w:r>
        <w:rPr>
          <w:lang w:val="ru-RU" w:eastAsia="ru-RU" w:bidi="ru-RU"/>
          <w:w w:val="100"/>
          <w:spacing w:val="0"/>
          <w:color w:val="000000"/>
          <w:position w:val="0"/>
        </w:rPr>
        <w:t>Согласно ч.9 ст.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в соответствии с &lt; тыо 8 настоящей статьи. Однако, комиссией по осуществлению закупок ГБОУ СОШ №35 в нарушение раздела 111</w:t>
      </w:r>
    </w:p>
    <w:p>
      <w:pPr>
        <w:pStyle w:val="Style33"/>
        <w:numPr>
          <w:ilvl w:val="0"/>
          <w:numId w:val="1"/>
        </w:numPr>
        <w:widowControl w:val="0"/>
        <w:keepNext w:val="0"/>
        <w:keepLines w:val="0"/>
        <w:shd w:val="clear" w:color="auto" w:fill="auto"/>
        <w:bidi w:val="0"/>
        <w:jc w:val="both"/>
        <w:spacing w:before="0" w:after="0"/>
        <w:ind w:left="40" w:right="20" w:firstLine="0"/>
      </w:pPr>
      <w:r>
        <w:rPr>
          <w:rStyle w:val="CharStyle40"/>
          <w:i w:val="0"/>
          <w:iCs w:val="0"/>
        </w:rPr>
        <w:t xml:space="preserve"> </w:t>
      </w:r>
      <w:r>
        <w:rPr>
          <w:rStyle w:val="CharStyle41"/>
          <w:i/>
          <w:iCs/>
        </w:rPr>
        <w:t xml:space="preserve">.рядка </w:t>
      </w:r>
      <w:r>
        <w:rPr>
          <w:lang w:val="ru-RU" w:eastAsia="ru-RU" w:bidi="ru-RU"/>
          <w:w w:val="100"/>
          <w:spacing w:val="0"/>
          <w:color w:val="000000"/>
          <w:position w:val="0"/>
        </w:rPr>
        <w:t>были приняты к оценке не контракты/договоры на поставку продуктов питания и организации услуг оощественного питания для образовательных организаций, а все исполненные ООО «ВИКТОРИЯ» контракты/договоры. Это привело к неверной оценке заявок участников и, как следствие, к неправильному начислению баллов поданным заявкам...»</w:t>
      </w:r>
    </w:p>
    <w:p>
      <w:pPr>
        <w:pStyle w:val="Style33"/>
        <w:widowControl w:val="0"/>
        <w:keepNext w:val="0"/>
        <w:keepLines w:val="0"/>
        <w:shd w:val="clear" w:color="auto" w:fill="auto"/>
        <w:bidi w:val="0"/>
        <w:jc w:val="both"/>
        <w:spacing w:before="0" w:after="0"/>
        <w:ind w:left="40" w:right="20" w:firstLine="540"/>
      </w:pPr>
      <w:r>
        <w:rPr>
          <w:rStyle w:val="CharStyle35"/>
          <w:i w:val="0"/>
          <w:iCs w:val="0"/>
        </w:rPr>
        <w:t xml:space="preserve">Заказчик не согласен с доводами жалобы и в своих возражениях пояснил следующее: </w:t>
      </w:r>
      <w:r>
        <w:rPr>
          <w:rStyle w:val="CharStyle39"/>
          <w:i/>
          <w:iCs/>
        </w:rPr>
        <w:t>«...В</w:t>
      </w:r>
      <w:r>
        <w:rPr>
          <w:lang w:val="ru-RU" w:eastAsia="ru-RU" w:bidi="ru-RU"/>
          <w:w w:val="100"/>
          <w:spacing w:val="0"/>
          <w:color w:val="000000"/>
          <w:position w:val="0"/>
        </w:rPr>
        <w:t xml:space="preserve"> доводах жалобы указано, что «Образовательные организации являются бюджетными, казенными либо автономными учреждениями, их закупочная деятельность и, соответственно, заключение контрактов/договоров, регламентированы 44-ФЗ либо 223-ФЗ».</w:t>
      </w:r>
    </w:p>
    <w:p>
      <w:pPr>
        <w:pStyle w:val="Style3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Наше учреждение является бюджетным и ведет закупочную деятельность исключительно в рамках Закона 44- ФЗ. В Законе 44-ФЗ есть статья 93, в рамках которой заключаются контракты (договора) с единственным поставщиком. Данные контракты (договора) не подлежат публикации в каких-либо реестрах. Однако, в документации о закупке указано: «К оценке принимаются исполненные участником закупки с учетом правопреемства (в случае наличия в заявке подтверждающего документа) контракты (гражданско-правовые договоры) в том числе заключенные и исполненные в соответствии с Законом о контрактной системе и Законом о закупках), а также иные гражданско-правовые договоры.».</w:t>
      </w:r>
    </w:p>
    <w:p>
      <w:pPr>
        <w:pStyle w:val="Style3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Таким образом, к оценке, при рассмотрении не стоимостных критериев, также принимались договора, которые не публикуются в реестрах договоров в соответствии с положениями Закона 44-ФЗ.</w:t>
      </w:r>
    </w:p>
    <w:p>
      <w:pPr>
        <w:pStyle w:val="Style33"/>
        <w:widowControl w:val="0"/>
        <w:keepNext w:val="0"/>
        <w:keepLines w:val="0"/>
        <w:shd w:val="clear" w:color="auto" w:fill="auto"/>
        <w:bidi w:val="0"/>
        <w:jc w:val="left"/>
        <w:spacing w:before="0" w:after="0"/>
        <w:ind w:left="40" w:right="20" w:firstLine="540"/>
      </w:pPr>
      <w:r>
        <w:rPr>
          <w:lang w:val="ru-RU" w:eastAsia="ru-RU" w:bidi="ru-RU"/>
          <w:w w:val="100"/>
          <w:spacing w:val="0"/>
          <w:color w:val="000000"/>
          <w:position w:val="0"/>
        </w:rPr>
        <w:t xml:space="preserve">Более того, во второй заявке (заявка № 2) также содержатся договора (контракты), заключенные в рамках </w:t>
      </w:r>
      <w:r>
        <w:rPr>
          <w:rStyle w:val="CharStyle41"/>
          <w:i/>
          <w:iCs/>
        </w:rPr>
        <w:t xml:space="preserve">•татьи </w:t>
      </w:r>
      <w:r>
        <w:rPr>
          <w:lang w:val="ru-RU" w:eastAsia="ru-RU" w:bidi="ru-RU"/>
          <w:w w:val="100"/>
          <w:spacing w:val="0"/>
          <w:color w:val="000000"/>
          <w:position w:val="0"/>
        </w:rPr>
        <w:t>93 Закона 44-ФЗ, которые также были приняты к оценке при рассмотрении заявок и подведения результатов лупки.</w:t>
      </w:r>
    </w:p>
    <w:p>
      <w:pPr>
        <w:pStyle w:val="Style3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У победителя к учёту и оценке принято 635 контрактов/гражданско-правовых договоров, на общую сумму 95 423 247,29 р. (таблица прилагается, нумерация сохранена в соответствии с реестром договоров, представленных в заявке участника).</w:t>
      </w:r>
    </w:p>
    <w:p>
      <w:pPr>
        <w:pStyle w:val="Style33"/>
        <w:widowControl w:val="0"/>
        <w:keepNext w:val="0"/>
        <w:keepLines w:val="0"/>
        <w:shd w:val="clear" w:color="auto" w:fill="auto"/>
        <w:bidi w:val="0"/>
        <w:jc w:val="both"/>
        <w:spacing w:before="0" w:after="0"/>
        <w:ind w:left="40" w:right="0" w:firstLine="540"/>
      </w:pPr>
      <w:r>
        <w:rPr>
          <w:lang w:val="ru-RU" w:eastAsia="ru-RU" w:bidi="ru-RU"/>
          <w:w w:val="100"/>
          <w:spacing w:val="0"/>
          <w:color w:val="000000"/>
          <w:position w:val="0"/>
        </w:rPr>
        <w:t>Из реестра контрактов открытой части на сумму: 38 311 060,86...».</w:t>
      </w:r>
    </w:p>
    <w:p>
      <w:pPr>
        <w:pStyle w:val="Style9"/>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возражения Заказчика установила следующее:</w:t>
      </w:r>
    </w:p>
    <w:p>
      <w:pPr>
        <w:pStyle w:val="Style9"/>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9"/>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извещении о закупке устанавливает следующие критерии:</w:t>
      </w:r>
    </w:p>
    <w:p>
      <w:pPr>
        <w:pStyle w:val="Style9"/>
        <w:numPr>
          <w:ilvl w:val="0"/>
          <w:numId w:val="3"/>
        </w:numPr>
        <w:widowControl w:val="0"/>
        <w:keepNext w:val="0"/>
        <w:keepLines w:val="0"/>
        <w:shd w:val="clear" w:color="auto" w:fill="auto"/>
        <w:bidi w:val="0"/>
        <w:jc w:val="both"/>
        <w:spacing w:before="0" w:after="0" w:line="250" w:lineRule="exact"/>
        <w:ind w:left="40" w:right="0" w:firstLine="700"/>
      </w:pPr>
      <w:r>
        <w:rPr>
          <w:lang w:val="ru-RU" w:eastAsia="ru-RU" w:bidi="ru-RU"/>
          <w:w w:val="100"/>
          <w:spacing w:val="0"/>
          <w:color w:val="000000"/>
          <w:position w:val="0"/>
        </w:rPr>
        <w:t xml:space="preserve"> цена контракта;</w:t>
      </w:r>
    </w:p>
    <w:p>
      <w:pPr>
        <w:pStyle w:val="Style9"/>
        <w:numPr>
          <w:ilvl w:val="0"/>
          <w:numId w:val="3"/>
        </w:numPr>
        <w:widowControl w:val="0"/>
        <w:keepNext w:val="0"/>
        <w:keepLines w:val="0"/>
        <w:shd w:val="clear" w:color="auto" w:fill="auto"/>
        <w:bidi w:val="0"/>
        <w:jc w:val="both"/>
        <w:spacing w:before="0" w:after="0" w:line="250" w:lineRule="exact"/>
        <w:ind w:left="40" w:right="0" w:firstLine="70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9"/>
        <w:numPr>
          <w:ilvl w:val="0"/>
          <w:numId w:val="3"/>
        </w:numPr>
        <w:widowControl w:val="0"/>
        <w:keepNext w:val="0"/>
        <w:keepLines w:val="0"/>
        <w:shd w:val="clear" w:color="auto" w:fill="auto"/>
        <w:bidi w:val="0"/>
        <w:jc w:val="both"/>
        <w:spacing w:before="0" w:after="0" w:line="250" w:lineRule="exact"/>
        <w:ind w:left="40" w:right="0" w:firstLine="70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3"/>
        </w:numPr>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Согласно части 4 статьи 32 Закона о контрактной системе в извещении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извещении о закупке критерии и их величины значимости не могут применяться для целей оценки заявок.</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9"/>
        <w:tabs>
          <w:tab w:leader="none" w:pos="9523" w:val="center"/>
          <w:tab w:leader="none" w:pos="9682" w:val="center"/>
        </w:tabs>
        <w:widowControl w:val="0"/>
        <w:keepNext w:val="0"/>
        <w:keepLines w:val="0"/>
        <w:shd w:val="clear" w:color="auto" w:fill="auto"/>
        <w:bidi w:val="0"/>
        <w:jc w:val="both"/>
        <w:spacing w:before="0" w:after="0" w:line="250" w:lineRule="exact"/>
        <w:ind w:left="20" w:right="0" w:firstLine="700"/>
      </w:pPr>
      <w:r>
        <w:rPr>
          <w:lang w:val="ru-RU" w:eastAsia="ru-RU" w:bidi="ru-RU"/>
          <w:w w:val="100"/>
          <w:spacing w:val="0"/>
          <w:color w:val="000000"/>
          <w:position w:val="0"/>
        </w:rPr>
        <w:t>Порядок оценок заявок участников закупки, в том числе предельные величины значимое!</w:t>
        <w:tab/>
        <w:t>;</w:t>
        <w:tab/>
      </w:r>
      <w:r>
        <w:rPr>
          <w:lang w:val="en-US" w:eastAsia="en-US" w:bidi="en-US"/>
          <w:w w:val="100"/>
          <w:spacing w:val="0"/>
          <w:color w:val="000000"/>
          <w:position w:val="0"/>
        </w:rPr>
        <w:t>i</w:t>
      </w:r>
    </w:p>
    <w:p>
      <w:pPr>
        <w:pStyle w:val="Style9"/>
        <w:widowControl w:val="0"/>
        <w:keepNext w:val="0"/>
        <w:keepLines w:val="0"/>
        <w:shd w:val="clear" w:color="auto" w:fill="auto"/>
        <w:bidi w:val="0"/>
        <w:jc w:val="both"/>
        <w:spacing w:before="0" w:after="0" w:line="250" w:lineRule="exact"/>
        <w:ind w:left="20" w:right="20" w:firstLine="0"/>
      </w:pPr>
      <w:r>
        <w:rPr>
          <w:lang w:val="ru-RU" w:eastAsia="ru-RU" w:bidi="ru-RU"/>
          <w:w w:val="100"/>
          <w:spacing w:val="0"/>
          <w:color w:val="000000"/>
          <w:position w:val="0"/>
        </w:rPr>
        <w:t>критерия, установлены Правилами оценки заявок, окончательных предложений участников закупки , ; работ, услуг для обеспечения государственных и муниципальных нужд, утвержденными Постановление'.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2021г. № 2369 и признании утратившими силу некоторых актов и отдельных положений некоторых актов Правительства Российской Федерации» (далее - Правила оценок заявок).</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Предельные величины значимости критериев оценки заявок, окончательных предложений участников закупки товаров, работ, услуг для обеспечения государственных и муниципальных нужд установлены в Приложении к Правилам оценки заявок.</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В извещении о проведении открытого конкурса в электронной форме установлены критерии оценки заявок на участие в открытом конкурсе, предусмотрены величины значимости этих критериев и их показатели, раскрывающие содержание установленных критериев оценки заявок, которые соответствуют требованиям частей 1, 4, 8 статьи 32 Закона о контрактной системе.</w:t>
      </w:r>
    </w:p>
    <w:p>
      <w:pPr>
        <w:pStyle w:val="Style9"/>
        <w:widowControl w:val="0"/>
        <w:keepNext w:val="0"/>
        <w:keepLines w:val="0"/>
        <w:shd w:val="clear" w:color="auto" w:fill="auto"/>
        <w:bidi w:val="0"/>
        <w:jc w:val="left"/>
        <w:spacing w:before="0" w:after="0" w:line="250" w:lineRule="exact"/>
        <w:ind w:left="20" w:right="20" w:firstLine="700"/>
      </w:pPr>
      <w:r>
        <w:rPr>
          <w:lang w:val="ru-RU" w:eastAsia="ru-RU" w:bidi="ru-RU"/>
          <w:w w:val="100"/>
          <w:spacing w:val="0"/>
          <w:color w:val="000000"/>
          <w:position w:val="0"/>
        </w:rPr>
        <w:t>Установленные в закупке требования были выбраны Заказчиком исходя из его права на установление критериев, позволяющих определить участника закупки, наиболее удовлетворяющего потребт , заказчика.</w:t>
      </w:r>
    </w:p>
    <w:p>
      <w:pPr>
        <w:pStyle w:val="Style9"/>
        <w:widowControl w:val="0"/>
        <w:keepNext w:val="0"/>
        <w:keepLines w:val="0"/>
        <w:shd w:val="clear" w:color="auto" w:fill="auto"/>
        <w:bidi w:val="0"/>
        <w:jc w:val="left"/>
        <w:spacing w:before="0" w:after="0" w:line="250" w:lineRule="exact"/>
        <w:ind w:left="20" w:right="20" w:firstLine="700"/>
      </w:pPr>
      <w:r>
        <w:rPr>
          <w:lang w:val="ru-RU" w:eastAsia="ru-RU" w:bidi="ru-RU"/>
          <w:w w:val="100"/>
          <w:spacing w:val="0"/>
          <w:color w:val="000000"/>
          <w:position w:val="0"/>
        </w:rPr>
        <w:t>Практика применения Правил оценки заявок, в части установления оценки нес го и г, и - критериев, обеспечивает высокий уровень квалификации участников закупки, является объективным счетным и формализованным, при этом нивелирующим риски недобросовестного поведения выигравшего поставщика (подрядчика, исполнителя).</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Согласно Извещению о закупке предмет контракта (договора), оцениваемого по детализирующему показателю, должен быть сопоставим с предметом контракта (договора), заключаемого по результатам определения исполнителя на поставку продуктов питания и организации услуг общественного питания для образовательных организаций.</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Перечень документов, подтверждающих наличие у участника закупки опыта, связанного с предметом контракта:</w:t>
      </w:r>
    </w:p>
    <w:p>
      <w:pPr>
        <w:pStyle w:val="Style9"/>
        <w:widowControl w:val="0"/>
        <w:keepNext w:val="0"/>
        <w:keepLines w:val="0"/>
        <w:shd w:val="clear" w:color="auto" w:fill="auto"/>
        <w:bidi w:val="0"/>
        <w:jc w:val="both"/>
        <w:spacing w:before="0" w:after="0" w:line="250" w:lineRule="exact"/>
        <w:ind w:left="20" w:right="20" w:firstLine="700"/>
      </w:pPr>
      <w:bookmarkStart w:id="6" w:name="bookmark6"/>
      <w:r>
        <w:rPr>
          <w:lang w:val="ru-RU" w:eastAsia="ru-RU" w:bidi="ru-RU"/>
          <w:w w:val="100"/>
          <w:spacing w:val="0"/>
          <w:color w:val="000000"/>
          <w:position w:val="0"/>
        </w:rPr>
        <w:t>-исполненные контракты (договоры) с реестровыми номерами из Реестра контрактов или Реестра договоров,</w:t>
      </w:r>
      <w:bookmarkEnd w:id="6"/>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-акт (акты) приемки оказанных услуг, составленные при исполнении такого (таких) контрактов (договоров).</w:t>
      </w:r>
    </w:p>
    <w:p>
      <w:pPr>
        <w:pStyle w:val="Style9"/>
        <w:widowControl w:val="0"/>
        <w:keepNext w:val="0"/>
        <w:keepLines w:val="0"/>
        <w:shd w:val="clear" w:color="auto" w:fill="auto"/>
        <w:bidi w:val="0"/>
        <w:jc w:val="left"/>
        <w:spacing w:before="0" w:after="0" w:line="250" w:lineRule="exact"/>
        <w:ind w:left="20" w:right="20" w:firstLine="700"/>
      </w:pPr>
      <w:r>
        <w:rPr>
          <w:lang w:val="ru-RU" w:eastAsia="ru-RU" w:bidi="ru-RU"/>
          <w:w w:val="100"/>
          <w:spacing w:val="0"/>
          <w:color w:val="000000"/>
          <w:position w:val="0"/>
        </w:rPr>
        <w:t xml:space="preserve">К оценке принимаются исключительно исполненные контракты (договоры), при исполнении которых поставщиком (подрядчиком, исполнителем) исполнены требования об уплате неустоек (штрафов, пен . м </w:t>
      </w:r>
      <w:r>
        <w:rPr>
          <w:lang w:val="en-US" w:eastAsia="en-US" w:bidi="en-US"/>
          <w:w w:val="100"/>
          <w:spacing w:val="0"/>
          <w:color w:val="000000"/>
          <w:position w:val="0"/>
        </w:rPr>
        <w:t xml:space="preserve">i </w:t>
      </w:r>
      <w:r>
        <w:rPr>
          <w:lang w:val="ru-RU" w:eastAsia="ru-RU" w:bidi="ru-RU"/>
          <w:w w:val="100"/>
          <w:spacing w:val="0"/>
          <w:color w:val="000000"/>
          <w:position w:val="0"/>
        </w:rPr>
        <w:t>случае начисления неустоек). Контракты (договоры) представляются со всеми дополни п. ид соглашениями.</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Последний акт, составленный при исполнении такого контракта (договора), должен быть подписан не ранее чем за 5 лет до даты окончания срока подачи заявок. Должны быть представлены все акты приемки оказанных услуг (поставки товаров продуктов питания), составленные при исполнении контракта (договора).</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подтверждающего документа) контракты (гражданско-правовые договоры) в том числе заключенные и исполненные в соответствии с Законом о контрактной системе и Законом о закупках), а также иные гражданско-правовые договоры. Такие документы направляются в форме электронных документов или в форме электронных образов бумажных документов. 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Услугами сопоставимого характера признаются услуги (работы) общественного питания (поставка продуктов питания) для образовательных организаций.</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Комиссия Управления проанализировала заявки участников, а также договора/контракты представленные в качестве подтверждения наличие у участников закупки опыта поставки товара выполнения работы, оказания услуги, связанного с предметом контракта.</w:t>
      </w:r>
    </w:p>
    <w:p>
      <w:pPr>
        <w:pStyle w:val="Style9"/>
        <w:widowControl w:val="0"/>
        <w:keepNext w:val="0"/>
        <w:keepLines w:val="0"/>
        <w:shd w:val="clear" w:color="auto" w:fill="auto"/>
        <w:bidi w:val="0"/>
        <w:jc w:val="left"/>
        <w:spacing w:before="0" w:after="0" w:line="250" w:lineRule="exact"/>
        <w:ind w:left="20" w:right="480" w:firstLine="700"/>
        <w:sectPr>
          <w:type w:val="continuous"/>
          <w:pgSz w:w="11909" w:h="16838"/>
          <w:pgMar w:top="1396" w:left="840" w:right="826" w:bottom="815" w:header="0" w:footer="3" w:gutter="0"/>
          <w:rtlGutter w:val="0"/>
          <w:cols w:space="720"/>
          <w:noEndnote/>
          <w:docGrid w:linePitch="360"/>
        </w:sectPr>
      </w:pPr>
      <w:r>
        <w:rPr>
          <w:lang w:val="ru-RU" w:eastAsia="ru-RU" w:bidi="ru-RU"/>
          <w:w w:val="100"/>
          <w:spacing w:val="0"/>
          <w:color w:val="000000"/>
          <w:position w:val="0"/>
        </w:rPr>
        <w:t>Так, участником №3 было представлено 1292 договора. Заказчик принял к учёту и ог контрактов/гражданско-правовых договоров сопоставимого характера, на общую сумму 95 423 2 У.</w:t>
      </w:r>
    </w:p>
    <w:p>
      <w:pPr>
        <w:pStyle w:val="Style9"/>
        <w:widowControl w:val="0"/>
        <w:keepNext w:val="0"/>
        <w:keepLines w:val="0"/>
        <w:shd w:val="clear" w:color="auto" w:fill="auto"/>
        <w:bidi w:val="0"/>
        <w:jc w:val="left"/>
        <w:spacing w:before="0" w:after="0" w:line="274" w:lineRule="exact"/>
        <w:ind w:left="20" w:right="20" w:firstLine="240"/>
      </w:pPr>
      <w:r>
        <w:rPr>
          <w:lang w:val="ru-RU" w:eastAsia="ru-RU" w:bidi="ru-RU"/>
          <w:w w:val="100"/>
          <w:spacing w:val="0"/>
          <w:color w:val="000000"/>
          <w:position w:val="0"/>
        </w:rPr>
        <w:t>юлица прилагается, нумерация сохранена в соответствии с реестром договоров, представленных в заявке \ частника).</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Заявитель не отрицал факт того, что указанные договора могли быть заключены с единственным поставщиком, а также сам представил опыт исполнения договоров в качествен единственного поставщика, предусмотренного статьей 93 Закона о контрактной системе.</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Довод о том, что разница сумм опыта по конкурентным процедурам и в качестве единственного поставщика у второго участника является существенной не может быть принят Комиссией Управления и является надуманным.</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Доказательств того, что участник №3 представил в составе недействительные договора и (или) Заказчик принял к учету «лишние» договора не находит своего подтверждения.</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енствия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Вместе с тем. Заявителем не представлено документальных подтверждений обоснованности доводов жалобы, а также доказательств того, каким образом действия Заказчика нарушают его права и законные интересы.</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9"/>
        <w:widowControl w:val="0"/>
        <w:keepNext w:val="0"/>
        <w:keepLines w:val="0"/>
        <w:shd w:val="clear" w:color="auto" w:fill="auto"/>
        <w:bidi w:val="0"/>
        <w:jc w:val="left"/>
        <w:spacing w:before="0" w:after="0" w:line="250" w:lineRule="exact"/>
        <w:ind w:left="4960" w:right="0" w:firstLine="0"/>
      </w:pPr>
      <w:r>
        <w:rPr>
          <w:lang w:val="ru-RU" w:eastAsia="ru-RU" w:bidi="ru-RU"/>
          <w:w w:val="100"/>
          <w:spacing w:val="0"/>
          <w:color w:val="000000"/>
          <w:position w:val="0"/>
        </w:rPr>
        <w:t>РЕШИЛА:</w:t>
      </w:r>
    </w:p>
    <w:p>
      <w:pPr>
        <w:pStyle w:val="Style9"/>
        <w:numPr>
          <w:ilvl w:val="0"/>
          <w:numId w:val="5"/>
        </w:numPr>
        <w:tabs>
          <w:tab w:leader="none" w:pos="1402" w:val="left"/>
        </w:tabs>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Признать жалобу Индивидуального предпринимателя Артеменко А.С. на действия Государственного бюджетного образовательного учреждения города Севастополя «Средняя общеобразовательная школа № 35 с углублённым изучением немецкого языка имени Героя Советского</w:t>
      </w:r>
    </w:p>
    <w:p>
      <w:pPr>
        <w:pStyle w:val="Style9"/>
        <w:widowControl w:val="0"/>
        <w:keepNext w:val="0"/>
        <w:keepLines w:val="0"/>
        <w:shd w:val="clear" w:color="auto" w:fill="auto"/>
        <w:bidi w:val="0"/>
        <w:jc w:val="left"/>
        <w:spacing w:before="0" w:after="0" w:line="250" w:lineRule="exact"/>
        <w:ind w:left="20" w:right="20" w:firstLine="240"/>
      </w:pPr>
      <w:r>
        <w:rPr>
          <w:lang w:val="ru-RU" w:eastAsia="ru-RU" w:bidi="ru-RU"/>
          <w:w w:val="100"/>
          <w:spacing w:val="0"/>
          <w:color w:val="000000"/>
          <w:position w:val="0"/>
        </w:rPr>
        <w:t xml:space="preserve">юза Г.А. Абызова» при проведении открытого конкурса в электронной форме на оказание услуг по </w:t>
      </w:r>
      <w:r>
        <w:rPr>
          <w:lang w:val="en-US" w:eastAsia="en-US" w:bidi="en-US"/>
          <w:w w:val="100"/>
          <w:spacing w:val="0"/>
          <w:color w:val="000000"/>
          <w:position w:val="0"/>
        </w:rPr>
        <w:t xml:space="preserve">j i </w:t>
      </w:r>
      <w:r>
        <w:rPr>
          <w:lang w:val="ru-RU" w:eastAsia="ru-RU" w:bidi="ru-RU"/>
          <w:w w:val="100"/>
          <w:spacing w:val="0"/>
          <w:color w:val="000000"/>
          <w:position w:val="0"/>
        </w:rPr>
        <w:t>анизации бесплатного горячего питания для обучающихся, получающих общее образование, извещение .'&gt;01 74500001122002710, необоснованной.</w:t>
      </w:r>
    </w:p>
    <w:p>
      <w:pPr>
        <w:pStyle w:val="Style9"/>
        <w:numPr>
          <w:ilvl w:val="0"/>
          <w:numId w:val="5"/>
        </w:numPr>
        <w:tabs>
          <w:tab w:leader="none" w:pos="1402" w:val="left"/>
        </w:tabs>
        <w:widowControl w:val="0"/>
        <w:keepNext w:val="0"/>
        <w:keepLines w:val="0"/>
        <w:shd w:val="clear" w:color="auto" w:fill="auto"/>
        <w:bidi w:val="0"/>
        <w:jc w:val="both"/>
        <w:spacing w:before="0" w:after="238" w:line="250" w:lineRule="exact"/>
        <w:ind w:left="20" w:right="20" w:firstLine="700"/>
      </w:pPr>
      <w:r>
        <w:rPr>
          <w:lang w:val="ru-RU" w:eastAsia="ru-RU" w:bidi="ru-RU"/>
          <w:w w:val="100"/>
          <w:spacing w:val="0"/>
          <w:color w:val="000000"/>
          <w:position w:val="0"/>
        </w:rPr>
        <w:t>Снять ограничения, установленные уведомлением Крымского УФАС России о принятии жалобы (реестровый номер в ЕИС №202200100161013464 к рассмотрению.</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42"/>
        <w:widowControl w:val="0"/>
        <w:keepNext w:val="0"/>
        <w:keepLines w:val="0"/>
        <w:shd w:val="clear" w:color="auto" w:fill="auto"/>
        <w:bidi w:val="0"/>
        <w:spacing w:before="0" w:after="0"/>
        <w:ind w:left="20" w:right="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framePr w:h="2362" w:wrap="around" w:vAnchor="text" w:hAnchor="margin" w:x="7119" w:y="1331"/>
        <w:widowControl w:val="0"/>
        <w:jc w:val="center"/>
        <w:rPr>
          <w:sz w:val="2"/>
          <w:szCs w:val="2"/>
        </w:rPr>
      </w:pPr>
      <w:r>
        <w:pict>
          <v:shape id="_x0000_s1028" type="#_x0000_t75" style="width:158pt;height:118pt;">
            <v:imagedata r:id="rId8" r:href="rId9"/>
          </v:shape>
        </w:pict>
      </w:r>
    </w:p>
    <w:p>
      <w:pPr>
        <w:pStyle w:val="Style42"/>
        <w:widowControl w:val="0"/>
        <w:keepNext w:val="0"/>
        <w:keepLines w:val="0"/>
        <w:shd w:val="clear" w:color="auto" w:fill="auto"/>
        <w:bidi w:val="0"/>
        <w:spacing w:before="0" w:after="261"/>
        <w:ind w:left="20" w:right="2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 . лиц и решений, принятых (осуществляемых) ими в ходе исполнения контрольных функций в ФАС России, в порядке, предусмотрен ; л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11"/>
        <w:widowControl w:val="0"/>
        <w:keepNext/>
        <w:keepLines/>
        <w:shd w:val="clear" w:color="auto" w:fill="auto"/>
        <w:bidi w:val="0"/>
        <w:jc w:val="left"/>
        <w:spacing w:before="0" w:after="0" w:line="677" w:lineRule="exact"/>
        <w:ind w:left="140" w:right="4640"/>
        <w:sectPr>
          <w:headerReference w:type="even" r:id="rId10"/>
          <w:headerReference w:type="default" r:id="rId11"/>
          <w:pgSz w:w="11909" w:h="16838"/>
          <w:pgMar w:top="1396" w:left="840" w:right="826" w:bottom="815" w:header="0" w:footer="3" w:gutter="0"/>
          <w:rtlGutter w:val="0"/>
          <w:cols w:space="720"/>
          <w:noEndnote/>
          <w:docGrid w:linePitch="360"/>
        </w:sectPr>
      </w:pPr>
      <w:bookmarkStart w:id="7" w:name="bookmark7"/>
      <w:r>
        <w:rPr>
          <w:lang w:val="ru-RU" w:eastAsia="ru-RU" w:bidi="ru-RU"/>
          <w:w w:val="100"/>
          <w:spacing w:val="0"/>
          <w:color w:val="000000"/>
          <w:position w:val="0"/>
        </w:rPr>
        <w:t>Председатель Комиссии /лены Комиссии:</w:t>
      </w:r>
      <w:bookmarkEnd w:id="7"/>
    </w:p>
    <w:p>
      <w:pPr>
        <w:framePr w:h="2054" w:wrap="none" w:vAnchor="text" w:hAnchor="margin" w:x="548"/>
        <w:widowControl w:val="0"/>
        <w:jc w:val="center"/>
        <w:rPr>
          <w:sz w:val="2"/>
          <w:szCs w:val="2"/>
        </w:rPr>
      </w:pPr>
      <w:r>
        <w:pict>
          <v:shape id="_x0000_s1030" type="#_x0000_t75" style="width:157pt;height:103pt;">
            <v:imagedata r:id="rId12" r:href="rId13"/>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58" w:lineRule="exact"/>
      </w:pPr>
    </w:p>
    <w:p>
      <w:pPr>
        <w:widowControl w:val="0"/>
        <w:rPr>
          <w:sz w:val="2"/>
          <w:szCs w:val="2"/>
        </w:rPr>
      </w:pPr>
    </w:p>
    <w:sectPr>
      <w:pgSz w:w="11909" w:h="16838"/>
      <w:pgMar w:top="248" w:left="780" w:right="780" w:bottom="2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2pt;margin-top:39.8pt;width:5.5pt;height:9.6pt;z-index:-188744064;mso-wrap-style:none;mso-wrap-distance-left:5.pt;mso-wrap-distance-right:5.pt;mso-position-horizontal-relative:page;mso-position-vertical-relative:page" wrapcoords="0 0" filled="f" stroked="f">
          <v:textbox style="mso-fit-shape-to-text:t" inset="0,0,0,0">
            <w:txbxContent>
              <w:p>
                <w:pPr>
                  <w:pStyle w:val="Style30"/>
                  <w:widowControl w:val="0"/>
                  <w:keepNext w:val="0"/>
                  <w:keepLines w:val="0"/>
                  <w:shd w:val="clear" w:color="auto" w:fill="auto"/>
                  <w:bidi w:val="0"/>
                  <w:jc w:val="left"/>
                  <w:spacing w:before="0" w:after="0" w:line="240" w:lineRule="auto"/>
                  <w:ind w:left="0" w:right="0" w:firstLine="0"/>
                </w:pPr>
                <w:fldSimple w:instr=" PAGE \* MERGEFORMAT ">
                  <w:r>
                    <w:rPr>
                      <w:rStyle w:val="CharStyle32"/>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5.2pt;margin-top:39.8pt;width:5.5pt;height:9.6pt;z-index:-188744063;mso-wrap-style:none;mso-wrap-distance-left:5.pt;mso-wrap-distance-right:5.pt;mso-position-horizontal-relative:page;mso-position-vertical-relative:page" wrapcoords="0 0" filled="f" stroked="f">
          <v:textbox style="mso-fit-shape-to-text:t" inset="0,0,0,0">
            <w:txbxContent>
              <w:p>
                <w:pPr>
                  <w:pStyle w:val="Style30"/>
                  <w:widowControl w:val="0"/>
                  <w:keepNext w:val="0"/>
                  <w:keepLines w:val="0"/>
                  <w:shd w:val="clear" w:color="auto" w:fill="auto"/>
                  <w:bidi w:val="0"/>
                  <w:jc w:val="left"/>
                  <w:spacing w:before="0" w:after="0" w:line="240" w:lineRule="auto"/>
                  <w:ind w:left="0" w:right="0" w:firstLine="0"/>
                </w:pPr>
                <w:fldSimple w:instr=" PAGE \* MERGEFORMAT ">
                  <w:r>
                    <w:rPr>
                      <w:rStyle w:val="CharStyle3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8"/>
        <w:szCs w:val="8"/>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lang w:val="en-US" w:eastAsia="en-US" w:bidi="en-US"/>
      <w:b w:val="0"/>
      <w:bCs w:val="0"/>
      <w:i w:val="0"/>
      <w:iCs w:val="0"/>
      <w:u w:val="none"/>
      <w:strike w:val="0"/>
      <w:smallCaps w:val="0"/>
      <w:sz w:val="20"/>
      <w:szCs w:val="20"/>
      <w:rFonts w:ascii="Arial" w:eastAsia="Arial" w:hAnsi="Arial" w:cs="Arial"/>
    </w:rPr>
  </w:style>
  <w:style w:type="character" w:customStyle="1" w:styleId="CharStyle6">
    <w:name w:val="Подпись к картинке_"/>
    <w:basedOn w:val="DefaultParagraphFont"/>
    <w:link w:val="Style5"/>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sz w:val="13"/>
      <w:szCs w:val="13"/>
      <w:rFonts w:ascii="Arial" w:eastAsia="Arial" w:hAnsi="Arial" w:cs="Arial"/>
      <w:spacing w:val="-20"/>
    </w:rPr>
  </w:style>
  <w:style w:type="character" w:customStyle="1" w:styleId="CharStyle10">
    <w:name w:val="Основной текст Exact"/>
    <w:basedOn w:val="DefaultParagraphFont"/>
    <w:rPr>
      <w:b w:val="0"/>
      <w:bCs w:val="0"/>
      <w:i w:val="0"/>
      <w:iCs w:val="0"/>
      <w:u w:val="none"/>
      <w:strike w:val="0"/>
      <w:smallCaps w:val="0"/>
      <w:sz w:val="17"/>
      <w:szCs w:val="17"/>
      <w:rFonts w:ascii="Times New Roman" w:eastAsia="Times New Roman" w:hAnsi="Times New Roman" w:cs="Times New Roman"/>
      <w:spacing w:val="9"/>
    </w:rPr>
  </w:style>
  <w:style w:type="character" w:customStyle="1" w:styleId="CharStyle12">
    <w:name w:val="Заголовок №2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4)_"/>
    <w:basedOn w:val="DefaultParagraphFont"/>
    <w:link w:val="Style13"/>
    <w:rPr>
      <w:b w:val="0"/>
      <w:bCs w:val="0"/>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 (4)"/>
    <w:basedOn w:val="CharStyle14"/>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bCs/>
      <w:i/>
      <w:iCs/>
      <w:u w:val="none"/>
      <w:strike w:val="0"/>
      <w:smallCaps w:val="0"/>
      <w:sz w:val="32"/>
      <w:szCs w:val="32"/>
      <w:rFonts w:ascii="Verdana" w:eastAsia="Verdana" w:hAnsi="Verdana" w:cs="Verdana"/>
      <w:spacing w:val="-60"/>
    </w:rPr>
  </w:style>
  <w:style w:type="character" w:customStyle="1" w:styleId="CharStyle18">
    <w:name w:val="Заголовок №1"/>
    <w:basedOn w:val="CharStyle17"/>
    <w:rPr>
      <w:lang w:val="ru-RU" w:eastAsia="ru-RU" w:bidi="ru-RU"/>
      <w:w w:val="100"/>
      <w:color w:val="000000"/>
      <w:position w:val="0"/>
    </w:rPr>
  </w:style>
  <w:style w:type="character" w:customStyle="1" w:styleId="CharStyle20">
    <w:name w:val="Заголовок №2 (2)_"/>
    <w:basedOn w:val="DefaultParagraphFont"/>
    <w:link w:val="Style19"/>
    <w:rPr>
      <w:b w:val="0"/>
      <w:bCs w:val="0"/>
      <w:i w:val="0"/>
      <w:iCs w:val="0"/>
      <w:u w:val="none"/>
      <w:strike w:val="0"/>
      <w:smallCaps w:val="0"/>
      <w:sz w:val="18"/>
      <w:szCs w:val="18"/>
      <w:rFonts w:ascii="Times New Roman" w:eastAsia="Times New Roman" w:hAnsi="Times New Roman" w:cs="Times New Roman"/>
    </w:rPr>
  </w:style>
  <w:style w:type="character" w:customStyle="1" w:styleId="CharStyle21">
    <w:name w:val="Заголовок №2 (2)"/>
    <w:basedOn w:val="CharStyle20"/>
    <w:rPr>
      <w:lang w:val="ru-RU" w:eastAsia="ru-RU" w:bidi="ru-RU"/>
      <w:u w:val="single"/>
      <w:w w:val="100"/>
      <w:spacing w:val="0"/>
      <w:color w:val="000000"/>
      <w:position w:val="0"/>
    </w:rPr>
  </w:style>
  <w:style w:type="character" w:customStyle="1" w:styleId="CharStyle22">
    <w:name w:val="Основной текст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Заголовок №2"/>
    <w:basedOn w:val="CharStyle12"/>
    <w:rPr>
      <w:lang w:val="en-US" w:eastAsia="en-US" w:bidi="en-US"/>
      <w:u w:val="single"/>
      <w:w w:val="100"/>
      <w:spacing w:val="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5)"/>
    <w:basedOn w:val="CharStyle26"/>
    <w:rPr>
      <w:lang w:val="ru-RU" w:eastAsia="ru-RU" w:bidi="ru-RU"/>
      <w:u w:val="single"/>
      <w:w w:val="100"/>
      <w:spacing w:val="0"/>
      <w:color w:val="000000"/>
      <w:position w:val="0"/>
    </w:rPr>
  </w:style>
  <w:style w:type="character" w:customStyle="1" w:styleId="CharStyle28">
    <w:name w:val="Заголовок №2 + 10 pt"/>
    <w:basedOn w:val="CharStyle12"/>
    <w:rPr>
      <w:lang w:val="en-US" w:eastAsia="en-US" w:bidi="en-US"/>
      <w:u w:val="single"/>
      <w:sz w:val="20"/>
      <w:szCs w:val="20"/>
      <w:w w:val="100"/>
      <w:spacing w:val="0"/>
      <w:color w:val="000000"/>
      <w:position w:val="0"/>
    </w:rPr>
  </w:style>
  <w:style w:type="character" w:customStyle="1" w:styleId="CharStyle29">
    <w:name w:val="Основной текст"/>
    <w:basedOn w:val="CharStyle22"/>
    <w:rPr>
      <w:lang w:val="ru-RU" w:eastAsia="ru-RU" w:bidi="ru-RU"/>
      <w:w w:val="100"/>
      <w:spacing w:val="0"/>
      <w:color w:val="000000"/>
      <w:position w:val="0"/>
    </w:rPr>
  </w:style>
  <w:style w:type="character" w:customStyle="1" w:styleId="CharStyle31">
    <w:name w:val="Колонтитул_"/>
    <w:basedOn w:val="DefaultParagraphFont"/>
    <w:link w:val="Style30"/>
    <w:rPr>
      <w:b w:val="0"/>
      <w:bCs w:val="0"/>
      <w:i w:val="0"/>
      <w:iCs w:val="0"/>
      <w:u w:val="none"/>
      <w:strike w:val="0"/>
      <w:smallCaps w:val="0"/>
      <w:rFonts w:ascii="Times New Roman" w:eastAsia="Times New Roman" w:hAnsi="Times New Roman" w:cs="Times New Roman"/>
    </w:rPr>
  </w:style>
  <w:style w:type="character" w:customStyle="1" w:styleId="CharStyle32">
    <w:name w:val="Колонтитул"/>
    <w:basedOn w:val="CharStyle31"/>
    <w:rPr>
      <w:lang w:val="ru-RU" w:eastAsia="ru-RU" w:bidi="ru-RU"/>
      <w:sz w:val="24"/>
      <w:szCs w:val="24"/>
      <w:w w:val="100"/>
      <w:spacing w:val="0"/>
      <w:color w:val="000000"/>
      <w:position w:val="0"/>
    </w:rPr>
  </w:style>
  <w:style w:type="character" w:customStyle="1" w:styleId="CharStyle34">
    <w:name w:val="Основной текст (6)_"/>
    <w:basedOn w:val="DefaultParagraphFont"/>
    <w:link w:val="Style33"/>
    <w:rPr>
      <w:b w:val="0"/>
      <w:bCs w:val="0"/>
      <w:i/>
      <w:iCs/>
      <w:u w:val="none"/>
      <w:strike w:val="0"/>
      <w:smallCaps w:val="0"/>
      <w:sz w:val="17"/>
      <w:szCs w:val="17"/>
      <w:rFonts w:ascii="Times New Roman" w:eastAsia="Times New Roman" w:hAnsi="Times New Roman" w:cs="Times New Roman"/>
    </w:rPr>
  </w:style>
  <w:style w:type="character" w:customStyle="1" w:styleId="CharStyle35">
    <w:name w:val="Основной текст (6) + 9 pt,Не курсив"/>
    <w:basedOn w:val="CharStyle34"/>
    <w:rPr>
      <w:lang w:val="ru-RU" w:eastAsia="ru-RU" w:bidi="ru-RU"/>
      <w:i/>
      <w:iCs/>
      <w:sz w:val="18"/>
      <w:szCs w:val="18"/>
      <w:w w:val="100"/>
      <w:spacing w:val="0"/>
      <w:color w:val="000000"/>
      <w:position w:val="0"/>
    </w:rPr>
  </w:style>
  <w:style w:type="character" w:customStyle="1" w:styleId="CharStyle36">
    <w:name w:val="Основной текст (6) + 9 pt"/>
    <w:basedOn w:val="CharStyle34"/>
    <w:rPr>
      <w:lang w:val="ru-RU" w:eastAsia="ru-RU" w:bidi="ru-RU"/>
      <w:sz w:val="18"/>
      <w:szCs w:val="18"/>
      <w:w w:val="100"/>
      <w:spacing w:val="0"/>
      <w:color w:val="000000"/>
      <w:position w:val="0"/>
    </w:rPr>
  </w:style>
  <w:style w:type="character" w:customStyle="1" w:styleId="CharStyle37">
    <w:name w:val="Основной текст (6) + 5,5 pt,Не курсив"/>
    <w:basedOn w:val="CharStyle34"/>
    <w:rPr>
      <w:lang w:val="ru-RU" w:eastAsia="ru-RU" w:bidi="ru-RU"/>
      <w:i/>
      <w:iCs/>
      <w:sz w:val="11"/>
      <w:szCs w:val="11"/>
      <w:w w:val="100"/>
      <w:spacing w:val="0"/>
      <w:color w:val="000000"/>
      <w:position w:val="0"/>
    </w:rPr>
  </w:style>
  <w:style w:type="character" w:customStyle="1" w:styleId="CharStyle38">
    <w:name w:val="Основной текст (6) + 11,5 pt,Масштаб 80%"/>
    <w:basedOn w:val="CharStyle34"/>
    <w:rPr>
      <w:lang w:val="ru-RU" w:eastAsia="ru-RU" w:bidi="ru-RU"/>
      <w:sz w:val="23"/>
      <w:szCs w:val="23"/>
      <w:w w:val="80"/>
      <w:spacing w:val="0"/>
      <w:color w:val="000000"/>
      <w:position w:val="0"/>
    </w:rPr>
  </w:style>
  <w:style w:type="character" w:customStyle="1" w:styleId="CharStyle39">
    <w:name w:val="Основной текст (6) + Интервал 1 pt"/>
    <w:basedOn w:val="CharStyle34"/>
    <w:rPr>
      <w:lang w:val="ru-RU" w:eastAsia="ru-RU" w:bidi="ru-RU"/>
      <w:w w:val="100"/>
      <w:spacing w:val="20"/>
      <w:color w:val="000000"/>
      <w:position w:val="0"/>
    </w:rPr>
  </w:style>
  <w:style w:type="character" w:customStyle="1" w:styleId="CharStyle40">
    <w:name w:val="Основной текст (6) + 4 pt,Не курсив"/>
    <w:basedOn w:val="CharStyle34"/>
    <w:rPr>
      <w:lang w:val="ru-RU" w:eastAsia="ru-RU" w:bidi="ru-RU"/>
      <w:i/>
      <w:iCs/>
      <w:sz w:val="8"/>
      <w:szCs w:val="8"/>
      <w:w w:val="100"/>
      <w:spacing w:val="0"/>
      <w:color w:val="000000"/>
      <w:position w:val="0"/>
    </w:rPr>
  </w:style>
  <w:style w:type="character" w:customStyle="1" w:styleId="CharStyle41">
    <w:name w:val="Основной текст (6)"/>
    <w:basedOn w:val="CharStyle34"/>
    <w:rPr>
      <w:lang w:val="ru-RU" w:eastAsia="ru-RU" w:bidi="ru-RU"/>
      <w:w w:val="100"/>
      <w:spacing w:val="0"/>
      <w:color w:val="000000"/>
      <w:position w:val="0"/>
    </w:rPr>
  </w:style>
  <w:style w:type="character" w:customStyle="1" w:styleId="CharStyle43">
    <w:name w:val="Основной текст (7)_"/>
    <w:basedOn w:val="DefaultParagraphFont"/>
    <w:link w:val="Style42"/>
    <w:rPr>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spacing w:line="0" w:lineRule="exact"/>
    </w:pPr>
    <w:rPr>
      <w:lang w:val="en-US" w:eastAsia="en-US" w:bidi="en-US"/>
      <w:b w:val="0"/>
      <w:bCs w:val="0"/>
      <w:i w:val="0"/>
      <w:iCs w:val="0"/>
      <w:u w:val="none"/>
      <w:strike w:val="0"/>
      <w:smallCaps w:val="0"/>
      <w:sz w:val="20"/>
      <w:szCs w:val="20"/>
      <w:rFonts w:ascii="Arial" w:eastAsia="Arial" w:hAnsi="Arial" w:cs="Arial"/>
    </w:rPr>
  </w:style>
  <w:style w:type="paragraph" w:customStyle="1" w:styleId="Style5">
    <w:name w:val="Подпись к картинке"/>
    <w:basedOn w:val="Normal"/>
    <w:link w:val="CharStyle6"/>
    <w:pPr>
      <w:widowControl w:val="0"/>
      <w:shd w:val="clear" w:color="auto" w:fill="FFFFFF"/>
      <w:spacing w:line="0"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right"/>
      <w:spacing w:line="0" w:lineRule="exact"/>
    </w:pPr>
    <w:rPr>
      <w:b w:val="0"/>
      <w:bCs w:val="0"/>
      <w:i w:val="0"/>
      <w:iCs w:val="0"/>
      <w:u w:val="none"/>
      <w:strike w:val="0"/>
      <w:smallCaps w:val="0"/>
      <w:sz w:val="13"/>
      <w:szCs w:val="13"/>
      <w:rFonts w:ascii="Arial" w:eastAsia="Arial" w:hAnsi="Arial" w:cs="Arial"/>
      <w:spacing w:val="-20"/>
    </w:rPr>
  </w:style>
  <w:style w:type="paragraph" w:customStyle="1" w:styleId="Style9">
    <w:name w:val="Основной текст"/>
    <w:basedOn w:val="Normal"/>
    <w:link w:val="CharStyle22"/>
    <w:pPr>
      <w:widowControl w:val="0"/>
      <w:shd w:val="clear" w:color="auto" w:fill="FFFFFF"/>
      <w:spacing w:line="27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center"/>
      <w:outlineLvl w:val="1"/>
      <w:spacing w:after="60" w:line="274" w:lineRule="exact"/>
      <w:ind w:hanging="120"/>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60" w:after="18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before="180" w:after="360" w:line="0" w:lineRule="exact"/>
    </w:pPr>
    <w:rPr>
      <w:b/>
      <w:bCs/>
      <w:i/>
      <w:iCs/>
      <w:u w:val="none"/>
      <w:strike w:val="0"/>
      <w:smallCaps w:val="0"/>
      <w:sz w:val="32"/>
      <w:szCs w:val="32"/>
      <w:rFonts w:ascii="Verdana" w:eastAsia="Verdana" w:hAnsi="Verdana" w:cs="Verdana"/>
      <w:spacing w:val="-60"/>
    </w:rPr>
  </w:style>
  <w:style w:type="paragraph" w:customStyle="1" w:styleId="Style19">
    <w:name w:val="Заголовок №2 (2)"/>
    <w:basedOn w:val="Normal"/>
    <w:link w:val="CharStyle20"/>
    <w:pPr>
      <w:widowControl w:val="0"/>
      <w:shd w:val="clear" w:color="auto" w:fill="FFFFFF"/>
      <w:outlineLvl w:val="1"/>
      <w:spacing w:before="3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spacing w:before="18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Колонтитул"/>
    <w:basedOn w:val="Normal"/>
    <w:link w:val="CharStyle31"/>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spacing w:line="226" w:lineRule="exact"/>
    </w:pPr>
    <w:rPr>
      <w:b w:val="0"/>
      <w:bCs w:val="0"/>
      <w:i/>
      <w:iCs/>
      <w:u w:val="none"/>
      <w:strike w:val="0"/>
      <w:smallCaps w:val="0"/>
      <w:sz w:val="17"/>
      <w:szCs w:val="17"/>
      <w:rFonts w:ascii="Times New Roman" w:eastAsia="Times New Roman" w:hAnsi="Times New Roman" w:cs="Times New Roman"/>
    </w:rPr>
  </w:style>
  <w:style w:type="paragraph" w:customStyle="1" w:styleId="Style42">
    <w:name w:val="Основной текст (7)"/>
    <w:basedOn w:val="Normal"/>
    <w:link w:val="CharStyle43"/>
    <w:pPr>
      <w:widowControl w:val="0"/>
      <w:shd w:val="clear" w:color="auto" w:fill="FFFFFF"/>
      <w:jc w:val="both"/>
      <w:spacing w:before="180" w:line="178" w:lineRule="exact"/>
      <w:ind w:firstLine="700"/>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image" Target="media/image3.jpeg"/><Relationship Id="rId13" Type="http://schemas.openxmlformats.org/officeDocument/2006/relationships/image" Target="media/image3.jpeg" TargetMode="External"/></Relationships>
</file>