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5"/>
        <w:framePr w:h="662" w:wrap="notBeside" w:vAnchor="text" w:hAnchor="text" w:xAlign="center" w:y="1"/>
        <w:widowControl w:val="0"/>
        <w:keepNext w:val="0"/>
        <w:keepLines w:val="0"/>
        <w:shd w:val="clear" w:color="auto" w:fill="auto"/>
        <w:bidi w:val="0"/>
        <w:jc w:val="left"/>
        <w:spacing w:before="0" w:after="0" w:line="120" w:lineRule="exact"/>
        <w:ind w:left="0" w:right="0" w:firstLine="0"/>
      </w:pPr>
      <w:r>
        <w:rPr>
          <w:rStyle w:val="CharStyle7"/>
        </w:rPr>
        <w:t>V</w:t>
      </w:r>
    </w:p>
    <w:p>
      <w:pPr>
        <w:widowControl w:val="0"/>
        <w:rPr>
          <w:sz w:val="2"/>
          <w:szCs w:val="2"/>
        </w:rPr>
      </w:pPr>
    </w:p>
    <w:p>
      <w:pPr>
        <w:pStyle w:val="Style3"/>
        <w:framePr w:w="3760" w:h="250" w:wrap="around" w:hAnchor="margin" w:x="4708" w:y="1163"/>
        <w:widowControl w:val="0"/>
        <w:keepNext w:val="0"/>
        <w:keepLines w:val="0"/>
        <w:shd w:val="clear" w:color="auto" w:fill="auto"/>
        <w:bidi w:val="0"/>
        <w:jc w:val="left"/>
        <w:spacing w:before="0" w:after="0" w:line="240" w:lineRule="exact"/>
        <w:ind w:left="100" w:right="0" w:firstLine="0"/>
      </w:pPr>
      <w:r>
        <w:rPr>
          <w:rStyle w:val="CharStyle4"/>
          <w:spacing w:val="0"/>
        </w:rPr>
        <w:t>ГБУ «Автомобильные дороги»</w:t>
      </w:r>
    </w:p>
    <w:p>
      <w:pPr>
        <w:pStyle w:val="Style11"/>
        <w:widowControl w:val="0"/>
        <w:keepNext w:val="0"/>
        <w:keepLines w:val="0"/>
        <w:shd w:val="clear" w:color="auto" w:fill="auto"/>
        <w:bidi w:val="0"/>
        <w:spacing w:before="0" w:after="0"/>
        <w:ind w:left="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106" w:left="1240" w:right="7494" w:bottom="356" w:header="0" w:footer="3" w:gutter="0"/>
          <w:rtlGutter w:val="0"/>
          <w:cols w:space="720"/>
          <w:noEndnote/>
          <w:docGrid w:linePitch="360"/>
        </w:sectPr>
      </w:pPr>
      <w:r>
        <w:rPr>
          <w:rStyle w:val="CharStyle13"/>
          <w:b/>
          <w:bCs/>
        </w:rPr>
        <w:t>ФЕДЕРАЛЬНАЯ АНТИМОНОПОЛЬНАЯ СЛУЖБА</w:t>
      </w:r>
    </w:p>
    <w:p>
      <w:pPr>
        <w:widowControl w:val="0"/>
        <w:spacing w:line="168" w:lineRule="exact"/>
        <w:rPr>
          <w:sz w:val="14"/>
          <w:szCs w:val="14"/>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1"/>
        <w:framePr w:h="170" w:wrap="around" w:vAnchor="text" w:hAnchor="margin" w:x="-3954" w:y="57"/>
        <w:widowControl w:val="0"/>
        <w:keepNext w:val="0"/>
        <w:keepLines w:val="0"/>
        <w:shd w:val="clear" w:color="auto" w:fill="auto"/>
        <w:bidi w:val="0"/>
        <w:jc w:val="left"/>
        <w:spacing w:before="0" w:after="0" w:line="170" w:lineRule="exact"/>
        <w:ind w:left="0" w:right="0" w:firstLine="0"/>
      </w:pPr>
      <w:r>
        <w:rPr>
          <w:rStyle w:val="CharStyle15"/>
          <w:b/>
          <w:bCs/>
          <w:spacing w:val="0"/>
        </w:rPr>
        <w:t>УПРАВЛЕ</w:t>
      </w:r>
      <w:r>
        <w:rPr>
          <w:rStyle w:val="CharStyle16"/>
          <w:b/>
          <w:bCs/>
          <w:spacing w:val="0"/>
        </w:rPr>
        <w:t>НИЕ</w:t>
      </w:r>
    </w:p>
    <w:p>
      <w:pPr>
        <w:pStyle w:val="Style3"/>
        <w:widowControl w:val="0"/>
        <w:keepNext w:val="0"/>
        <w:keepLines w:val="0"/>
        <w:shd w:val="clear" w:color="auto" w:fill="auto"/>
        <w:bidi w:val="0"/>
        <w:jc w:val="left"/>
        <w:spacing w:before="0" w:after="0" w:line="260" w:lineRule="exact"/>
        <w:ind w:left="0" w:right="0" w:firstLine="0"/>
        <w:sectPr>
          <w:type w:val="continuous"/>
          <w:pgSz w:w="11909" w:h="16838"/>
          <w:pgMar w:top="121" w:left="6112" w:right="722" w:bottom="371" w:header="0" w:footer="3" w:gutter="0"/>
          <w:rtlGutter w:val="0"/>
          <w:cols w:space="720"/>
          <w:noEndnote/>
          <w:docGrid w:linePitch="360"/>
        </w:sectPr>
      </w:pPr>
      <w:r>
        <w:rPr>
          <w:lang w:val="ru-RU" w:eastAsia="ru-RU" w:bidi="ru-RU"/>
          <w:w w:val="100"/>
          <w:spacing w:val="0"/>
          <w:color w:val="000000"/>
          <w:position w:val="0"/>
        </w:rPr>
        <w:t>ул. 1-я Магистральная, д. 23, г. Москва,</w:t>
      </w:r>
    </w:p>
    <w:p>
      <w:pPr>
        <w:widowControl w:val="0"/>
        <w:spacing w:before="13" w:after="13"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framePr w:h="240" w:wrap="notBeside" w:hAnchor="margin" w:x="3686" w:y="2127"/>
        <w:widowControl w:val="0"/>
        <w:keepNext w:val="0"/>
        <w:keepLines w:val="0"/>
        <w:shd w:val="clear" w:color="auto" w:fill="auto"/>
        <w:bidi w:val="0"/>
        <w:jc w:val="left"/>
        <w:spacing w:before="0" w:after="0" w:line="240" w:lineRule="exact"/>
        <w:ind w:left="100" w:right="0" w:firstLine="0"/>
      </w:pPr>
      <w:r>
        <w:rPr>
          <w:rStyle w:val="CharStyle4"/>
          <w:spacing w:val="0"/>
        </w:rPr>
        <w:t>123007</w:t>
      </w:r>
    </w:p>
    <w:p>
      <w:pPr>
        <w:pStyle w:val="Style11"/>
        <w:widowControl w:val="0"/>
        <w:keepNext w:val="0"/>
        <w:keepLines w:val="0"/>
        <w:shd w:val="clear" w:color="auto" w:fill="auto"/>
        <w:bidi w:val="0"/>
        <w:jc w:val="left"/>
        <w:spacing w:before="0" w:after="0" w:line="180" w:lineRule="exact"/>
        <w:ind w:left="0" w:right="0" w:firstLine="0"/>
        <w:sectPr>
          <w:type w:val="continuous"/>
          <w:pgSz w:w="11909" w:h="16838"/>
          <w:pgMar w:top="121" w:left="2292" w:right="8335" w:bottom="371" w:header="0" w:footer="3" w:gutter="0"/>
          <w:rtlGutter w:val="0"/>
          <w:cols w:space="720"/>
          <w:noEndnote/>
          <w:docGrid w:linePitch="360"/>
        </w:sectPr>
      </w:pPr>
      <w:r>
        <w:rPr>
          <w:rStyle w:val="CharStyle13"/>
          <w:b/>
          <w:bCs/>
        </w:rPr>
        <w:t>по г. Москве</w:t>
      </w:r>
    </w:p>
    <w:p>
      <w:pPr>
        <w:widowControl w:val="0"/>
        <w:spacing w:line="192" w:lineRule="exact"/>
        <w:rPr>
          <w:sz w:val="15"/>
          <w:szCs w:val="15"/>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spacing w:before="0" w:after="281"/>
        <w:ind w:left="0" w:right="0" w:firstLine="0"/>
      </w:pPr>
      <w:r>
        <w:rPr>
          <w:rStyle w:val="CharStyle20"/>
        </w:rPr>
        <w:t xml:space="preserve">Мясницкий проезд, д.4, стр. 1 107078, г. Москва, тел. (495) 784-75-05, факс (495) 607-49-29 факс (495) 607-42-92, </w:t>
      </w:r>
      <w:r>
        <w:rPr>
          <w:rStyle w:val="CharStyle21"/>
        </w:rPr>
        <w:t>e-mail: to77@,fas.gov.ru</w:t>
      </w:r>
    </w:p>
    <w:p>
      <w:pPr>
        <w:pStyle w:val="Style22"/>
        <w:widowControl w:val="0"/>
        <w:keepNext w:val="0"/>
        <w:keepLines w:val="0"/>
        <w:shd w:val="clear" w:color="auto" w:fill="auto"/>
        <w:bidi w:val="0"/>
        <w:spacing w:before="0" w:after="0" w:line="170" w:lineRule="exact"/>
        <w:ind w:left="0" w:right="0" w:firstLine="0"/>
      </w:pPr>
      <w:r>
        <w:rPr>
          <w:rStyle w:val="CharStyle24"/>
        </w:rPr>
        <w:t>№</w:t>
      </w:r>
    </w:p>
    <w:p>
      <w:pPr>
        <w:pStyle w:val="Style3"/>
        <w:widowControl w:val="0"/>
        <w:keepNext w:val="0"/>
        <w:keepLines w:val="0"/>
        <w:shd w:val="clear" w:color="auto" w:fill="auto"/>
        <w:bidi w:val="0"/>
        <w:jc w:val="left"/>
        <w:spacing w:before="0" w:after="303" w:line="260" w:lineRule="exact"/>
        <w:ind w:left="0" w:right="0" w:firstLine="0"/>
      </w:pPr>
      <w:r>
        <w:rPr>
          <w:lang w:val="ru-RU" w:eastAsia="ru-RU" w:bidi="ru-RU"/>
          <w:w w:val="100"/>
          <w:spacing w:val="0"/>
          <w:color w:val="000000"/>
          <w:position w:val="0"/>
        </w:rPr>
        <w:t>ООО «Декаст»</w:t>
      </w:r>
    </w:p>
    <w:p>
      <w:pPr>
        <w:pStyle w:val="Style3"/>
        <w:widowControl w:val="0"/>
        <w:keepNext w:val="0"/>
        <w:keepLines w:val="0"/>
        <w:shd w:val="clear" w:color="auto" w:fill="auto"/>
        <w:bidi w:val="0"/>
        <w:jc w:val="left"/>
        <w:spacing w:before="0" w:after="0" w:line="322" w:lineRule="exact"/>
        <w:ind w:left="0" w:right="0" w:firstLine="0"/>
        <w:sectPr>
          <w:type w:val="continuous"/>
          <w:pgSz w:w="11909" w:h="16838"/>
          <w:pgMar w:top="121" w:left="972" w:right="1116" w:bottom="371" w:header="0" w:footer="3" w:gutter="0"/>
          <w:rtlGutter w:val="0"/>
          <w:cols w:num="2" w:space="720" w:equalWidth="0">
            <w:col w:w="3715" w:space="1358"/>
            <w:col w:w="4747"/>
          </w:cols>
          <w:noEndnote/>
          <w:docGrid w:linePitch="360"/>
        </w:sectPr>
      </w:pPr>
      <w:r>
        <w:rPr>
          <w:lang w:val="ru-RU" w:eastAsia="ru-RU" w:bidi="ru-RU"/>
          <w:w w:val="100"/>
          <w:spacing w:val="0"/>
          <w:color w:val="000000"/>
          <w:position w:val="0"/>
        </w:rPr>
        <w:t>ул. Индустриальная, влд. 4, стр. 1, пом. 6, оф. 8, д. Шматово, г.о. Ступино, Московская обл., 142821</w:t>
      </w:r>
    </w:p>
    <w:p>
      <w:pPr>
        <w:widowControl w:val="0"/>
        <w:spacing w:line="2" w:lineRule="exact"/>
        <w:rPr>
          <w:sz w:val="2"/>
          <w:szCs w:val="2"/>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framePr w:h="160" w:wrap="around" w:vAnchor="text" w:hAnchor="margin" w:x="1910" w:y="12"/>
        <w:widowControl w:val="0"/>
        <w:keepNext w:val="0"/>
        <w:keepLines w:val="0"/>
        <w:shd w:val="clear" w:color="auto" w:fill="auto"/>
        <w:bidi w:val="0"/>
        <w:jc w:val="left"/>
        <w:spacing w:before="0" w:after="0" w:line="160" w:lineRule="exact"/>
        <w:ind w:left="100" w:right="0" w:firstLine="0"/>
      </w:pPr>
      <w:r>
        <w:rPr>
          <w:rStyle w:val="CharStyle26"/>
          <w:spacing w:val="0"/>
        </w:rPr>
        <w:t>от</w:t>
      </w:r>
    </w:p>
    <w:p>
      <w:pPr>
        <w:pStyle w:val="Style27"/>
        <w:widowControl w:val="0"/>
        <w:keepNext w:val="0"/>
        <w:keepLines w:val="0"/>
        <w:shd w:val="clear" w:color="auto" w:fill="auto"/>
        <w:bidi w:val="0"/>
        <w:jc w:val="left"/>
        <w:spacing w:before="0" w:after="424" w:line="170" w:lineRule="exact"/>
        <w:ind w:left="20" w:right="0" w:firstLine="0"/>
      </w:pPr>
      <w:r>
        <w:rPr>
          <w:rStyle w:val="CharStyle29"/>
        </w:rPr>
        <w:t>На№</w:t>
      </w:r>
    </w:p>
    <w:p>
      <w:pPr>
        <w:pStyle w:val="Style30"/>
        <w:widowControl w:val="0"/>
        <w:keepNext w:val="0"/>
        <w:keepLines w:val="0"/>
        <w:shd w:val="clear" w:color="auto" w:fill="auto"/>
        <w:bidi w:val="0"/>
        <w:jc w:val="left"/>
        <w:spacing w:before="0" w:after="0" w:line="420" w:lineRule="exact"/>
        <w:ind w:left="20" w:right="0" w:firstLine="0"/>
        <w:sectPr>
          <w:type w:val="continuous"/>
          <w:pgSz w:w="11909" w:h="16838"/>
          <w:pgMar w:top="121" w:left="765" w:right="10312" w:bottom="371" w:header="0" w:footer="3" w:gutter="0"/>
          <w:rtlGutter w:val="0"/>
          <w:cols w:space="720"/>
          <w:noEndnote/>
          <w:docGrid w:linePitch="360"/>
        </w:sectPr>
      </w:pPr>
      <w:r>
        <w:rPr>
          <w:rStyle w:val="CharStyle32"/>
          <w:b/>
          <w:bCs/>
        </w:rPr>
        <w:t>Г</w:t>
      </w:r>
    </w:p>
    <w:p>
      <w:pPr>
        <w:widowControl w:val="0"/>
        <w:spacing w:line="240" w:lineRule="exact"/>
        <w:rPr>
          <w:sz w:val="19"/>
          <w:szCs w:val="19"/>
        </w:rPr>
      </w:pPr>
    </w:p>
    <w:p>
      <w:pPr>
        <w:widowControl w:val="0"/>
        <w:spacing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3"/>
        <w:widowControl w:val="0"/>
        <w:keepNext w:val="0"/>
        <w:keepLines w:val="0"/>
        <w:shd w:val="clear" w:color="auto" w:fill="auto"/>
        <w:bidi w:val="0"/>
        <w:spacing w:before="0" w:after="0"/>
        <w:ind w:left="0" w:right="0" w:firstLine="0"/>
        <w:sectPr>
          <w:type w:val="continuous"/>
          <w:pgSz w:w="11909" w:h="16838"/>
          <w:pgMar w:top="121" w:left="2968" w:right="2805" w:bottom="371" w:header="0" w:footer="3" w:gutter="0"/>
          <w:rtlGutter w:val="0"/>
          <w:cols w:space="720"/>
          <w:noEndnote/>
          <w:docGrid w:linePitch="360"/>
        </w:sectPr>
      </w:pPr>
      <w:r>
        <w:rPr>
          <w:lang w:val="ru-RU" w:eastAsia="ru-RU" w:bidi="ru-RU"/>
          <w:w w:val="100"/>
          <w:spacing w:val="0"/>
          <w:color w:val="000000"/>
          <w:position w:val="0"/>
        </w:rPr>
        <w:t>РЕШЕНИЕ по делу № 077/06/106-11514/2022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3"/>
        <w:framePr w:h="240" w:wrap="around" w:vAnchor="text" w:hAnchor="margin" w:x="8865" w:y="6"/>
        <w:widowControl w:val="0"/>
        <w:keepNext w:val="0"/>
        <w:keepLines w:val="0"/>
        <w:shd w:val="clear" w:color="auto" w:fill="auto"/>
        <w:bidi w:val="0"/>
        <w:jc w:val="left"/>
        <w:spacing w:before="0" w:after="0" w:line="240" w:lineRule="exact"/>
        <w:ind w:left="100" w:right="0" w:firstLine="0"/>
      </w:pPr>
      <w:r>
        <w:rPr>
          <w:rStyle w:val="CharStyle35"/>
          <w:b/>
          <w:bCs/>
          <w:spacing w:val="0"/>
        </w:rPr>
        <w:t>г. Москва</w:t>
      </w:r>
    </w:p>
    <w:p>
      <w:pPr>
        <w:pStyle w:val="Style33"/>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04.08.2022</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Председательствующего — главного государственного инспектора отдела обжалования государственных закупок Е.А. Мироновой,</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А.З. Касимовой,</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3"/>
        <w:tabs>
          <w:tab w:leader="none" w:pos="582"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при участии представителей:</w:t>
      </w:r>
    </w:p>
    <w:p>
      <w:pPr>
        <w:pStyle w:val="Style3"/>
        <w:tabs>
          <w:tab w:leader="none" w:pos="5472" w:val="left"/>
        </w:tabs>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ГБУ «Автомобильные дороги»:</w:t>
        <w:tab/>
        <w:t>С.А. Ястребова (по дов. №б/н</w:t>
      </w:r>
    </w:p>
    <w:p>
      <w:pPr>
        <w:pStyle w:val="Style3"/>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от 10.01.2022),</w:t>
      </w:r>
    </w:p>
    <w:p>
      <w:pPr>
        <w:pStyle w:val="Style3"/>
        <w:widowControl w:val="0"/>
        <w:keepNext w:val="0"/>
        <w:keepLines w:val="0"/>
        <w:shd w:val="clear" w:color="auto" w:fill="auto"/>
        <w:bidi w:val="0"/>
        <w:jc w:val="both"/>
        <w:spacing w:before="0" w:after="176" w:line="322" w:lineRule="exact"/>
        <w:ind w:left="20" w:right="20" w:firstLine="700"/>
      </w:pPr>
      <w:r>
        <w:rPr>
          <w:lang w:val="ru-RU" w:eastAsia="ru-RU" w:bidi="ru-RU"/>
          <w:w w:val="100"/>
          <w:spacing w:val="0"/>
          <w:color w:val="000000"/>
          <w:position w:val="0"/>
        </w:rPr>
        <w:t>ООО «Декаст»: А.М. Бондарева (по дов. №1 от 02.08.2022), рассмотрев жалобу ООО «Декаст» (далее — Заявитель) на действия ГБУ «Автомобильные дороги» (далее — Заказчик) при проведении электронного аукциона на право заключения государственного контракта на поставку приборов учета расхода жидкостей для нужд ГБУ «Автомобильные дороги» среди субъектов малого предпринимательства и социально ориентированных некоммерческих организаций (Закупка № 0373200307322000215) (далее - аукцион), в соответствии</w:t>
      </w:r>
    </w:p>
    <w:p>
      <w:pPr>
        <w:pStyle w:val="Style36"/>
        <w:widowControl w:val="0"/>
        <w:keepNext w:val="0"/>
        <w:keepLines w:val="0"/>
        <w:shd w:val="clear" w:color="auto" w:fill="auto"/>
        <w:bidi w:val="0"/>
        <w:jc w:val="left"/>
        <w:spacing w:before="0" w:after="0" w:line="240" w:lineRule="auto"/>
        <w:ind w:left="0" w:right="0" w:firstLine="0"/>
        <w:sectPr>
          <w:type w:val="continuous"/>
          <w:pgSz w:w="11909" w:h="16838"/>
          <w:pgMar w:top="121" w:left="746" w:right="957" w:bottom="371" w:header="0" w:footer="3" w:gutter="0"/>
          <w:rtlGutter w:val="0"/>
          <w:cols w:space="720"/>
          <w:noEndnote/>
          <w:docGrid w:linePitch="360"/>
        </w:sectPr>
      </w:pPr>
      <w:r>
        <w:rPr>
          <w:w w:val="100"/>
          <w:spacing w:val="0"/>
          <w:color w:val="000000"/>
          <w:position w:val="0"/>
        </w:rPr>
        <w:t>000330850894</w:t>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38"/>
        <w:widowControl w:val="0"/>
        <w:keepNext/>
        <w:keepLines/>
        <w:shd w:val="clear" w:color="auto" w:fill="auto"/>
        <w:bidi w:val="0"/>
        <w:spacing w:before="0" w:after="303"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01.08.2022 № ЕИ/39896/22, Комиссия Управления установила следующее.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доводам жалобы Заказчиком неправомерно размещен протокол признания участника уклонившимся от заключения контракта от 18.07.2022 №ППУ20_1 в связи с непредставлением обеспечения исполнения контракта.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протоколом подведения итогов определения поставщика (подрядчика, исполнителя) от 12.07.2022 №ИЭА1 ООО «Декаст» признано победителем электронного аукциона.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ч.1 ст.51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Законом о контрактной системе, с иным участником закупки (далее в настоящей статье - участник закупки, с которым заключается контракт) не ранее чем через десять дней (если Законом о контрактной системе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ст.51 Закона о контрактной системе, после предоставления участником закупки, с которым заключается контракт, обеспечения исполнения контракта в соответствии с требованиями Закона о контрактной системе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Законом о контрактной системе, обязаны подписать контракт в порядке, установленном ст.51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п.1 ч.2 ст.51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статьи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установлено, что в срок, предусмотренный ч.2 ст.51 Закона о контрактной системе, а именно 13.07.2022, Заказчиком направлен проект государственного контракта на подписание победителю аукциона.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п.1 ч.3 ст.51 Закона о контрактной системе не позднее пяти рабочих дней, следующих за днем размещения заказчиком в соответствии с ч.2 ст.51 Закона о контрактной системе проекта контракта, участник закупки, с которым заключается контракт,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подписанный проект контракта, а также документ, подтверждающий предоставление обеспечения исполнения контракта в соответствии с Законом о контрактной системе (за исключением случаев, предусмотренных Законом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п.4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ч.3 ст.96 Закона о контрактной системе исполнение контракта может обеспечиваться, в частности, предоставлением независимой гарантии, соответствующей требованиям статьи 45 Закона о контрактной системе,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п.1 ч.1 ст.45 Закона о контрактной системе заказчики в качестве обеспечения заявок, исполнения контрактов, гарантийных обязательств принимают независимые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частью 1.2 ст. 45 Закона о контрактной системы.</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ч.2 ст.45 Закона о контрактной системе Независимая гарантия должна быть безотзывной и должна содержать:</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сумму независимой гарантии, подлежащую уплате гарантом заказчику в установленных частью 15 статьи 44 Закона о контрактной системе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статьей 96 Закона о контрактной системе, а также идентификационный код закупки, при осуществлении которой предоставляется такая независимая гарантия;</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обязательства принципала, надлежащее исполнение которых обеспечивается независимой гарантией;</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обязанность гаранта уплатить заказчику неустойку в размере 0,1 процента денежной суммы, подлежащей уплате, за каждый день просрочки;</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3"/>
        <w:numPr>
          <w:ilvl w:val="0"/>
          <w:numId w:val="1"/>
        </w:numPr>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 xml:space="preserve"> срок действия независимой гарантии с учетом требований статей 44 и 96</w:t>
      </w:r>
    </w:p>
    <w:p>
      <w:pPr>
        <w:pStyle w:val="Style3"/>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Закона о контрактной системе;</w:t>
      </w:r>
    </w:p>
    <w:p>
      <w:pPr>
        <w:pStyle w:val="Style3"/>
        <w:numPr>
          <w:ilvl w:val="0"/>
          <w:numId w:val="1"/>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pPr>
        <w:pStyle w:val="Style3"/>
        <w:numPr>
          <w:ilvl w:val="0"/>
          <w:numId w:val="1"/>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установленный Правительством Российской Федерации перечень документов, предоставляемых заказчиком гаранту одновременно с требованием об осуществлении уплаты денежной суммы по независимой гарантии.</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Согласно п.1 ч.6 ст.51 Закона о контрактной системе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ст.51 Закона о контрактной системе, а также случая, если таким участником закупки в срок, установленный частью 3 ст.51 Закона о контрактной системе, не выполнены требования пункта 3 части 3 ст.51 Закона о контрактной системе) и частью 5 ст.51 Закона о контрактной системе, такой участник закупки считается уклонившимся от заключения контракта.</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Комиссией Управления посредством функционала государственной информационной системы «Независимый регистратор» установлено, что победителем аукциона в адрес Заказчика направлен подписанный контракт и обеспечение исполнения контракта в виде независимой гарантии от 14.07.2022 </w:t>
      </w:r>
      <w:r>
        <w:rPr>
          <w:lang w:val="en-US" w:eastAsia="en-US" w:bidi="en-US"/>
          <w:w w:val="100"/>
          <w:spacing w:val="0"/>
          <w:color w:val="000000"/>
          <w:position w:val="0"/>
        </w:rPr>
        <w:t xml:space="preserve">№22/0044/AST/MMB/067335, </w:t>
      </w:r>
      <w:r>
        <w:rPr>
          <w:lang w:val="ru-RU" w:eastAsia="ru-RU" w:bidi="ru-RU"/>
          <w:w w:val="100"/>
          <w:spacing w:val="0"/>
          <w:color w:val="000000"/>
          <w:position w:val="0"/>
        </w:rPr>
        <w:t xml:space="preserve">выданной ПАО Сбербанк, а также представлено обеспечение гарантийных обязательств в виде независимой гарантии от 14.07.2022 </w:t>
      </w:r>
      <w:r>
        <w:rPr>
          <w:lang w:val="en-US" w:eastAsia="en-US" w:bidi="en-US"/>
          <w:w w:val="100"/>
          <w:spacing w:val="0"/>
          <w:color w:val="000000"/>
          <w:position w:val="0"/>
        </w:rPr>
        <w:t xml:space="preserve">№22/0044/AST/MMB/067339, </w:t>
      </w:r>
      <w:r>
        <w:rPr>
          <w:lang w:val="ru-RU" w:eastAsia="ru-RU" w:bidi="ru-RU"/>
          <w:w w:val="100"/>
          <w:spacing w:val="0"/>
          <w:color w:val="000000"/>
          <w:position w:val="0"/>
        </w:rPr>
        <w:t>выданной ПАО Сбербанк.</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Согласно ч.5 ст.45 Закона о контрактной системе Заказчик рассматривает поступившую независимую гарантию в срок, не превышающий трех рабочих дней со дня ее поступления, если Законом о контрактной системе не установлено иное.</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На заседании Комиссии Управления представитель Заказчика пояснил, что Заявитель признан уклонившимся от заключения контракта в связи с техническими сбоями в работе системы ЕАИСТ. Так, согласно пояснениям представителя Заказчика, на дату подписания контракта в вышеуказанной системе отображалась исключительно независимая гарантия от 14.07.2022 </w:t>
      </w:r>
      <w:r>
        <w:rPr>
          <w:lang w:val="en-US" w:eastAsia="en-US" w:bidi="en-US"/>
          <w:w w:val="100"/>
          <w:spacing w:val="0"/>
          <w:color w:val="000000"/>
          <w:position w:val="0"/>
        </w:rPr>
        <w:t xml:space="preserve">№22/0044/AST/MME/067339 </w:t>
      </w:r>
      <w:r>
        <w:rPr>
          <w:lang w:val="ru-RU" w:eastAsia="ru-RU" w:bidi="ru-RU"/>
          <w:w w:val="100"/>
          <w:spacing w:val="0"/>
          <w:color w:val="000000"/>
          <w:position w:val="0"/>
        </w:rPr>
        <w:t>на обеспечение гарантийных обязательств.</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Комиссия Управления отмечает, что в подтверждение своей позиции представителем Заказчика не было представлено документов и сведений, в частности скриншотов с электронной площадки, однозначно свидетельствующих о некорректной работе системе ЕАИСТ во время рассмотрения представленных Заявителем документов.</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Таким образом, Комиссия Управления приходит к выводу, что Заявителем представлена независимая гарантия в качестве обеспечения контракта, что подтверждается сведениями, размещенными в государственной информационной системе «Независимый регистратор», а также приходит к выводу о нарушении</w:t>
      </w:r>
    </w:p>
    <w:p>
      <w:pPr>
        <w:pStyle w:val="Style3"/>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Заказчиком ч.6 ст.51 Закона о контрактной системе при принятии Заказчиком решения об отказе от заключения контракта по указанным в протоколе основаниям.</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Таким образом, Комиссия Управления приходит к выводу о нарушении Заказчиком ч.6 ст.51 Закона о контрактной системе, что также содержит признаки состава административного правонарушения, ответственность за которое предусмотрена ч.3 ст.7.32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При этом на заседании Комиссии Управления установлено, что государственным заказчиком по итогам проведения электронного аукциона</w:t>
      </w:r>
    </w:p>
    <w:p>
      <w:pPr>
        <w:pStyle w:val="Style3"/>
        <w:numPr>
          <w:ilvl w:val="0"/>
          <w:numId w:val="3"/>
        </w:numPr>
        <w:tabs>
          <w:tab w:leader="none" w:pos="1441"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заключен государственный контракт.</w:t>
      </w:r>
    </w:p>
    <w:p>
      <w:pPr>
        <w:pStyle w:val="Style3"/>
        <w:tabs>
          <w:tab w:leader="none" w:pos="5034" w:val="right"/>
          <w:tab w:leader="none" w:pos="5956" w:val="left"/>
          <w:tab w:leader="none" w:pos="10150" w:val="right"/>
        </w:tabs>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Исследовав</w:t>
        <w:tab/>
        <w:t>представленные</w:t>
        <w:tab/>
        <w:t>материалы,</w:t>
        <w:tab/>
        <w:t>руководствуясь</w:t>
      </w:r>
    </w:p>
    <w:p>
      <w:pPr>
        <w:pStyle w:val="Style3"/>
        <w:widowControl w:val="0"/>
        <w:keepNext w:val="0"/>
        <w:keepLines w:val="0"/>
        <w:shd w:val="clear" w:color="auto" w:fill="auto"/>
        <w:bidi w:val="0"/>
        <w:jc w:val="both"/>
        <w:spacing w:before="0" w:after="349" w:line="322" w:lineRule="exact"/>
        <w:ind w:left="0" w:right="20" w:firstLine="0"/>
      </w:pPr>
      <w:r>
        <w:rPr>
          <w:lang w:val="ru-RU" w:eastAsia="ru-RU" w:bidi="ru-RU"/>
          <w:w w:val="100"/>
          <w:spacing w:val="0"/>
          <w:color w:val="000000"/>
          <w:position w:val="0"/>
        </w:rPr>
        <w:t>Административным регламентом, Законом о контрактной системе, Комиссия Управления</w:t>
      </w:r>
    </w:p>
    <w:p>
      <w:pPr>
        <w:pStyle w:val="Style38"/>
        <w:widowControl w:val="0"/>
        <w:keepNext/>
        <w:keepLines/>
        <w:shd w:val="clear" w:color="auto" w:fill="auto"/>
        <w:bidi w:val="0"/>
        <w:spacing w:before="0" w:after="299" w:line="260" w:lineRule="exact"/>
        <w:ind w:left="20" w:right="0" w:firstLine="0"/>
      </w:pPr>
      <w:bookmarkStart w:id="1" w:name="bookmark1"/>
      <w:r>
        <w:rPr>
          <w:lang w:val="ru-RU" w:eastAsia="ru-RU" w:bidi="ru-RU"/>
          <w:w w:val="100"/>
          <w:spacing w:val="0"/>
          <w:color w:val="000000"/>
          <w:position w:val="0"/>
        </w:rPr>
        <w:t>РЕШИЛА:</w:t>
      </w:r>
      <w:bookmarkEnd w:id="1"/>
    </w:p>
    <w:p>
      <w:pPr>
        <w:pStyle w:val="Style3"/>
        <w:numPr>
          <w:ilvl w:val="0"/>
          <w:numId w:val="5"/>
        </w:numPr>
        <w:widowControl w:val="0"/>
        <w:keepNext w:val="0"/>
        <w:keepLines w:val="0"/>
        <w:shd w:val="clear" w:color="auto" w:fill="auto"/>
        <w:bidi w:val="0"/>
        <w:jc w:val="both"/>
        <w:spacing w:before="0" w:after="0" w:line="326" w:lineRule="exact"/>
        <w:ind w:left="0" w:right="20" w:firstLine="700"/>
      </w:pPr>
      <w:r>
        <w:rPr>
          <w:lang w:val="ru-RU" w:eastAsia="ru-RU" w:bidi="ru-RU"/>
          <w:w w:val="100"/>
          <w:spacing w:val="0"/>
          <w:color w:val="000000"/>
          <w:position w:val="0"/>
        </w:rPr>
        <w:t xml:space="preserve"> Признать жалобу ООО «Декаст» на действия ГБУ «Автомобильные дороги» обоснованной.</w:t>
      </w:r>
    </w:p>
    <w:p>
      <w:pPr>
        <w:pStyle w:val="Style3"/>
        <w:numPr>
          <w:ilvl w:val="0"/>
          <w:numId w:val="5"/>
        </w:numPr>
        <w:widowControl w:val="0"/>
        <w:keepNext w:val="0"/>
        <w:keepLines w:val="0"/>
        <w:shd w:val="clear" w:color="auto" w:fill="auto"/>
        <w:bidi w:val="0"/>
        <w:jc w:val="both"/>
        <w:spacing w:before="0" w:after="0" w:line="326" w:lineRule="exact"/>
        <w:ind w:left="0" w:right="20" w:firstLine="700"/>
      </w:pPr>
      <w:r>
        <w:rPr>
          <w:lang w:val="ru-RU" w:eastAsia="ru-RU" w:bidi="ru-RU"/>
          <w:w w:val="100"/>
          <w:spacing w:val="0"/>
          <w:color w:val="000000"/>
          <w:position w:val="0"/>
        </w:rPr>
        <w:t xml:space="preserve"> Признать в действиях Заказчика нарушение ч.6 ст.51 Закона о контрактной системе.</w:t>
      </w:r>
    </w:p>
    <w:p>
      <w:pPr>
        <w:pStyle w:val="Style3"/>
        <w:numPr>
          <w:ilvl w:val="0"/>
          <w:numId w:val="5"/>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Обязательное для исполнения предписание об устранении нарушений законодательства о контрактной системе Заказчику не выдавать, поскольку по результатам проведения закупки заключен государственный контракт от</w:t>
      </w:r>
    </w:p>
    <w:p>
      <w:pPr>
        <w:pStyle w:val="Style3"/>
        <w:numPr>
          <w:ilvl w:val="0"/>
          <w:numId w:val="7"/>
        </w:numPr>
        <w:tabs>
          <w:tab w:leader="none" w:pos="1441"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и восстановление законных прав и интересов Заявителя возможно исключительно в судебном порядке.</w:t>
      </w:r>
    </w:p>
    <w:p>
      <w:pPr>
        <w:pStyle w:val="Style3"/>
        <w:numPr>
          <w:ilvl w:val="0"/>
          <w:numId w:val="5"/>
        </w:numPr>
        <w:widowControl w:val="0"/>
        <w:keepNext w:val="0"/>
        <w:keepLines w:val="0"/>
        <w:shd w:val="clear" w:color="auto" w:fill="auto"/>
        <w:bidi w:val="0"/>
        <w:jc w:val="both"/>
        <w:spacing w:before="0" w:after="296" w:line="317" w:lineRule="exact"/>
        <w:ind w:left="0" w:right="20" w:firstLine="70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3"/>
        <w:widowControl w:val="0"/>
        <w:keepNext w:val="0"/>
        <w:keepLines w:val="0"/>
        <w:shd w:val="clear" w:color="auto" w:fill="auto"/>
        <w:bidi w:val="0"/>
        <w:jc w:val="both"/>
        <w:spacing w:before="0" w:after="43" w:line="322"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10150" w:val="right"/>
          <w:tab w:leader="none" w:pos="10166"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Председательствующий</w:t>
        <w:tab/>
        <w:t>Е.А.</w:t>
        <w:tab/>
        <w:t>Миронова</w:t>
      </w:r>
    </w:p>
    <w:p>
      <w:pPr>
        <w:pStyle w:val="Style3"/>
        <w:tabs>
          <w:tab w:leader="none" w:pos="8866" w:val="right"/>
          <w:tab w:leader="none" w:pos="10150"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А.З.</w:t>
        <w:tab/>
        <w:t>Касимова</w:t>
      </w:r>
    </w:p>
    <w:p>
      <w:pPr>
        <w:pStyle w:val="Style3"/>
        <w:widowControl w:val="0"/>
        <w:keepNext w:val="0"/>
        <w:keepLines w:val="0"/>
        <w:shd w:val="clear" w:color="auto" w:fill="auto"/>
        <w:bidi w:val="0"/>
        <w:jc w:val="right"/>
        <w:spacing w:before="0" w:after="1271" w:line="643" w:lineRule="exact"/>
        <w:ind w:left="0" w:right="20" w:firstLine="0"/>
      </w:pPr>
      <w:r>
        <w:rPr>
          <w:lang w:val="ru-RU" w:eastAsia="ru-RU" w:bidi="ru-RU"/>
          <w:w w:val="100"/>
          <w:spacing w:val="0"/>
          <w:color w:val="000000"/>
          <w:position w:val="0"/>
        </w:rPr>
        <w:t>А.А. Кутейников</w:t>
      </w:r>
    </w:p>
    <w:p>
      <w:pPr>
        <w:pStyle w:val="Style40"/>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Касимова А.З.</w:t>
      </w:r>
    </w:p>
    <w:sectPr>
      <w:pgSz w:w="11909" w:h="16838"/>
      <w:pgMar w:top="1262" w:left="851" w:right="849" w:bottom="1128"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4pt;margin-top:795.6pt;width:57.1pt;height:7.9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2022-44596</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37.8pt;margin-top:806.pt;width:57.1pt;height:7.9pt;z-index:-188744062;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2022-44596</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4pt;margin-top:38.15pt;width:5.3pt;height:7.9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29.0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22"/>
      <w:numFmt w:val="decimal"/>
      <w:lvlText w:val="29.0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6">
    <w:name w:val="Подпись к картинке_"/>
    <w:basedOn w:val="DefaultParagraphFont"/>
    <w:link w:val="Style5"/>
    <w:rPr>
      <w:b w:val="0"/>
      <w:bCs w:val="0"/>
      <w:i w:val="0"/>
      <w:iCs w:val="0"/>
      <w:u w:val="none"/>
      <w:strike w:val="0"/>
      <w:smallCaps w:val="0"/>
      <w:sz w:val="12"/>
      <w:szCs w:val="12"/>
      <w:w w:val="200"/>
    </w:rPr>
  </w:style>
  <w:style w:type="character" w:customStyle="1" w:styleId="CharStyle7">
    <w:name w:val="Подпись к картинке"/>
    <w:basedOn w:val="CharStyle6"/>
    <w:rPr>
      <w:lang w:val="ru-RU" w:eastAsia="ru-RU" w:bidi="ru-RU"/>
      <w:rFonts w:ascii="Courier New" w:eastAsia="Courier New" w:hAnsi="Courier New" w:cs="Courier New"/>
      <w:spacing w:val="0"/>
      <w:color w:val="000000"/>
      <w:position w:val="0"/>
    </w:rPr>
  </w:style>
  <w:style w:type="character" w:customStyle="1" w:styleId="CharStyle9">
    <w:name w:val="Колонтитул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2)"/>
    <w:basedOn w:val="CharStyle12"/>
    <w:rPr>
      <w:lang w:val="ru-RU" w:eastAsia="ru-RU" w:bidi="ru-RU"/>
      <w:w w:val="100"/>
      <w:spacing w:val="0"/>
      <w:color w:val="000000"/>
      <w:position w:val="0"/>
    </w:rPr>
  </w:style>
  <w:style w:type="character" w:customStyle="1" w:styleId="CharStyle14">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15">
    <w:name w:val="Основной текст (2) Exact"/>
    <w:basedOn w:val="CharStyle12"/>
    <w:rPr>
      <w:lang w:val="ru-RU" w:eastAsia="ru-RU" w:bidi="ru-RU"/>
      <w:sz w:val="17"/>
      <w:szCs w:val="17"/>
      <w:w w:val="100"/>
      <w:spacing w:val="2"/>
      <w:color w:val="000000"/>
      <w:position w:val="0"/>
    </w:rPr>
  </w:style>
  <w:style w:type="character" w:customStyle="1" w:styleId="CharStyle16">
    <w:name w:val="Основной текст (2) Exact"/>
    <w:basedOn w:val="CharStyle12"/>
    <w:rPr>
      <w:lang w:val="ru-RU" w:eastAsia="ru-RU" w:bidi="ru-RU"/>
      <w:u w:val="single"/>
      <w:sz w:val="17"/>
      <w:szCs w:val="17"/>
      <w:w w:val="100"/>
      <w:spacing w:val="2"/>
      <w:color w:val="000000"/>
      <w:position w:val="0"/>
    </w:rPr>
  </w:style>
  <w:style w:type="character" w:customStyle="1" w:styleId="CharStyle17">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3)_"/>
    <w:basedOn w:val="DefaultParagraphFont"/>
    <w:link w:val="Style18"/>
    <w:rPr>
      <w:b w:val="0"/>
      <w:bCs w:val="0"/>
      <w:i w:val="0"/>
      <w:iCs w:val="0"/>
      <w:u w:val="none"/>
      <w:strike w:val="0"/>
      <w:smallCaps w:val="0"/>
      <w:sz w:val="18"/>
      <w:szCs w:val="18"/>
      <w:rFonts w:ascii="Times New Roman" w:eastAsia="Times New Roman" w:hAnsi="Times New Roman" w:cs="Times New Roman"/>
    </w:rPr>
  </w:style>
  <w:style w:type="character" w:customStyle="1" w:styleId="CharStyle20">
    <w:name w:val="Основной текст (3)"/>
    <w:basedOn w:val="CharStyle19"/>
    <w:rPr>
      <w:lang w:val="ru-RU" w:eastAsia="ru-RU" w:bidi="ru-RU"/>
      <w:w w:val="100"/>
      <w:spacing w:val="0"/>
      <w:color w:val="000000"/>
      <w:position w:val="0"/>
    </w:rPr>
  </w:style>
  <w:style w:type="character" w:customStyle="1" w:styleId="CharStyle21">
    <w:name w:val="Основной текст (3)"/>
    <w:basedOn w:val="CharStyle19"/>
    <w:rPr>
      <w:lang w:val="en-US" w:eastAsia="en-US" w:bidi="en-US"/>
      <w:u w:val="single"/>
      <w:w w:val="100"/>
      <w:spacing w:val="0"/>
      <w:color w:val="000000"/>
      <w:position w:val="0"/>
    </w:rPr>
  </w:style>
  <w:style w:type="character" w:customStyle="1" w:styleId="CharStyle23">
    <w:name w:val="Основной текст (4)_"/>
    <w:basedOn w:val="DefaultParagraphFont"/>
    <w:link w:val="Style22"/>
    <w:rPr>
      <w:b w:val="0"/>
      <w:bCs w:val="0"/>
      <w:i w:val="0"/>
      <w:iCs w:val="0"/>
      <w:u w:val="none"/>
      <w:strike w:val="0"/>
      <w:smallCaps w:val="0"/>
      <w:sz w:val="17"/>
      <w:szCs w:val="17"/>
      <w:rFonts w:ascii="Segoe UI" w:eastAsia="Segoe UI" w:hAnsi="Segoe UI" w:cs="Segoe UI"/>
    </w:rPr>
  </w:style>
  <w:style w:type="character" w:customStyle="1" w:styleId="CharStyle24">
    <w:name w:val="Основной текст (4)"/>
    <w:basedOn w:val="CharStyle23"/>
    <w:rPr>
      <w:lang w:val="ru-RU" w:eastAsia="ru-RU" w:bidi="ru-RU"/>
      <w:w w:val="100"/>
      <w:spacing w:val="0"/>
      <w:color w:val="000000"/>
      <w:position w:val="0"/>
    </w:rPr>
  </w:style>
  <w:style w:type="character" w:customStyle="1" w:styleId="CharStyle25">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26">
    <w:name w:val="Основной текст (3) Exact"/>
    <w:basedOn w:val="CharStyle19"/>
    <w:rPr>
      <w:lang w:val="ru-RU" w:eastAsia="ru-RU" w:bidi="ru-RU"/>
      <w:sz w:val="16"/>
      <w:szCs w:val="16"/>
      <w:w w:val="100"/>
      <w:spacing w:val="3"/>
      <w:color w:val="000000"/>
      <w:position w:val="0"/>
    </w:rPr>
  </w:style>
  <w:style w:type="character" w:customStyle="1" w:styleId="CharStyle28">
    <w:name w:val="Основной текст (5)_"/>
    <w:basedOn w:val="DefaultParagraphFont"/>
    <w:link w:val="Style27"/>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9">
    <w:name w:val="Основной текст (5)"/>
    <w:basedOn w:val="CharStyle28"/>
    <w:rPr>
      <w:lang w:val="ru-RU" w:eastAsia="ru-RU" w:bidi="ru-RU"/>
      <w:w w:val="100"/>
      <w:color w:val="000000"/>
      <w:position w:val="0"/>
    </w:rPr>
  </w:style>
  <w:style w:type="character" w:customStyle="1" w:styleId="CharStyle31">
    <w:name w:val="Основной текст (6)_"/>
    <w:basedOn w:val="DefaultParagraphFont"/>
    <w:link w:val="Style30"/>
    <w:rPr>
      <w:b/>
      <w:bCs/>
      <w:i w:val="0"/>
      <w:iCs w:val="0"/>
      <w:u w:val="none"/>
      <w:strike w:val="0"/>
      <w:smallCaps w:val="0"/>
      <w:sz w:val="42"/>
      <w:szCs w:val="42"/>
    </w:rPr>
  </w:style>
  <w:style w:type="character" w:customStyle="1" w:styleId="CharStyle32">
    <w:name w:val="Основной текст (6)"/>
    <w:basedOn w:val="CharStyle31"/>
    <w:rPr>
      <w:lang w:val="ru-RU" w:eastAsia="ru-RU" w:bidi="ru-RU"/>
      <w:rFonts w:ascii="Courier New" w:eastAsia="Courier New" w:hAnsi="Courier New" w:cs="Courier New"/>
      <w:w w:val="100"/>
      <w:spacing w:val="0"/>
      <w:color w:val="000000"/>
      <w:position w:val="0"/>
    </w:rPr>
  </w:style>
  <w:style w:type="character" w:customStyle="1" w:styleId="CharStyle34">
    <w:name w:val="Основной текст (7)_"/>
    <w:basedOn w:val="DefaultParagraphFont"/>
    <w:link w:val="Style33"/>
    <w:rPr>
      <w:b/>
      <w:bCs/>
      <w:i w:val="0"/>
      <w:iCs w:val="0"/>
      <w:u w:val="none"/>
      <w:strike w:val="0"/>
      <w:smallCaps w:val="0"/>
      <w:sz w:val="26"/>
      <w:szCs w:val="26"/>
      <w:rFonts w:ascii="Times New Roman" w:eastAsia="Times New Roman" w:hAnsi="Times New Roman" w:cs="Times New Roman"/>
    </w:rPr>
  </w:style>
  <w:style w:type="character" w:customStyle="1" w:styleId="CharStyle35">
    <w:name w:val="Основной текст (7)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7">
    <w:name w:val="Штрих-код (2)_"/>
    <w:basedOn w:val="DefaultParagraphFont"/>
    <w:link w:val="Style36"/>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9">
    <w:name w:val="Заголовок №1_"/>
    <w:basedOn w:val="DefaultParagraphFont"/>
    <w:link w:val="Style38"/>
    <w:rPr>
      <w:b/>
      <w:bCs/>
      <w:i w:val="0"/>
      <w:iCs w:val="0"/>
      <w:u w:val="none"/>
      <w:strike w:val="0"/>
      <w:smallCaps w:val="0"/>
      <w:sz w:val="26"/>
      <w:szCs w:val="26"/>
      <w:rFonts w:ascii="Times New Roman" w:eastAsia="Times New Roman" w:hAnsi="Times New Roman" w:cs="Times New Roman"/>
    </w:rPr>
  </w:style>
  <w:style w:type="character" w:customStyle="1" w:styleId="CharStyle41">
    <w:name w:val="Основной текст (8)_"/>
    <w:basedOn w:val="DefaultParagraphFont"/>
    <w:link w:val="Style40"/>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17"/>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Подпись к картинке"/>
    <w:basedOn w:val="Normal"/>
    <w:link w:val="CharStyle6"/>
    <w:pPr>
      <w:widowControl w:val="0"/>
      <w:shd w:val="clear" w:color="auto" w:fill="FFFFFF"/>
      <w:spacing w:line="0" w:lineRule="exact"/>
    </w:pPr>
    <w:rPr>
      <w:b w:val="0"/>
      <w:bCs w:val="0"/>
      <w:i w:val="0"/>
      <w:iCs w:val="0"/>
      <w:u w:val="none"/>
      <w:strike w:val="0"/>
      <w:smallCaps w:val="0"/>
      <w:sz w:val="12"/>
      <w:szCs w:val="12"/>
      <w:w w:val="200"/>
    </w:rPr>
  </w:style>
  <w:style w:type="paragraph" w:customStyle="1" w:styleId="Style8">
    <w:name w:val="Колонтитул"/>
    <w:basedOn w:val="Normal"/>
    <w:link w:val="CharStyle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2">
    <w:name w:val="Основной текст (4)"/>
    <w:basedOn w:val="Normal"/>
    <w:link w:val="CharStyle23"/>
    <w:pPr>
      <w:widowControl w:val="0"/>
      <w:shd w:val="clear" w:color="auto" w:fill="FFFFFF"/>
      <w:jc w:val="center"/>
      <w:spacing w:before="240" w:line="0" w:lineRule="exact"/>
    </w:pPr>
    <w:rPr>
      <w:b w:val="0"/>
      <w:bCs w:val="0"/>
      <w:i w:val="0"/>
      <w:iCs w:val="0"/>
      <w:u w:val="none"/>
      <w:strike w:val="0"/>
      <w:smallCaps w:val="0"/>
      <w:sz w:val="17"/>
      <w:szCs w:val="17"/>
      <w:rFonts w:ascii="Segoe UI" w:eastAsia="Segoe UI" w:hAnsi="Segoe UI" w:cs="Segoe UI"/>
    </w:rPr>
  </w:style>
  <w:style w:type="paragraph" w:customStyle="1" w:styleId="Style27">
    <w:name w:val="Основной текст (5)"/>
    <w:basedOn w:val="Normal"/>
    <w:link w:val="CharStyle28"/>
    <w:pPr>
      <w:widowControl w:val="0"/>
      <w:shd w:val="clear" w:color="auto" w:fill="FFFFFF"/>
      <w:spacing w:after="540"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30">
    <w:name w:val="Основной текст (6)"/>
    <w:basedOn w:val="Normal"/>
    <w:link w:val="CharStyle31"/>
    <w:pPr>
      <w:widowControl w:val="0"/>
      <w:shd w:val="clear" w:color="auto" w:fill="FFFFFF"/>
      <w:spacing w:before="540" w:line="0" w:lineRule="exact"/>
    </w:pPr>
    <w:rPr>
      <w:b/>
      <w:bCs/>
      <w:i w:val="0"/>
      <w:iCs w:val="0"/>
      <w:u w:val="none"/>
      <w:strike w:val="0"/>
      <w:smallCaps w:val="0"/>
      <w:sz w:val="42"/>
      <w:szCs w:val="42"/>
    </w:rPr>
  </w:style>
  <w:style w:type="paragraph" w:customStyle="1" w:styleId="Style33">
    <w:name w:val="Основной текст (7)"/>
    <w:basedOn w:val="Normal"/>
    <w:link w:val="CharStyle34"/>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6">
    <w:name w:val="Штрих-код (2)"/>
    <w:basedOn w:val="Normal"/>
    <w:link w:val="CharStyle37"/>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8">
    <w:name w:val="Заголовок №1"/>
    <w:basedOn w:val="Normal"/>
    <w:link w:val="CharStyle39"/>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0">
    <w:name w:val="Основной текст (8)"/>
    <w:basedOn w:val="Normal"/>
    <w:link w:val="CharStyle41"/>
    <w:pPr>
      <w:widowControl w:val="0"/>
      <w:shd w:val="clear" w:color="auto" w:fill="FFFFFF"/>
      <w:jc w:val="both"/>
      <w:spacing w:before="90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