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310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60pt;height:66pt;">
            <v:imagedata r:id="rId5" r:href="rId6"/>
          </v:shape>
        </w:pict>
      </w:r>
    </w:p>
    <w:p>
      <w:pPr>
        <w:widowControl w:val="0"/>
        <w:rPr>
          <w:sz w:val="2"/>
          <w:szCs w:val="2"/>
        </w:rPr>
      </w:pPr>
    </w:p>
    <w:p>
      <w:pPr>
        <w:pStyle w:val="Style11"/>
        <w:widowControl w:val="0"/>
        <w:keepNext/>
        <w:keepLines/>
        <w:shd w:val="clear" w:color="auto" w:fill="auto"/>
        <w:bidi w:val="0"/>
        <w:spacing w:before="162" w:after="104"/>
        <w:ind w:left="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УПРАВЛЕ</w:t>
      </w:r>
      <w:r>
        <w:rPr>
          <w:rStyle w:val="CharStyle13"/>
        </w:rPr>
        <w:t>НИЕ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ФЕДЕРАЛЬНОЙ АНТИМОНОПОЛЬНОЙ СЛУЖБЫ ПО СВЕРДЛОВСКОЙ ОБЛАСТИ РЕШЕНИЕ по жалобе № </w:t>
      </w:r>
      <w:r>
        <w:rPr>
          <w:rStyle w:val="CharStyle14"/>
        </w:rPr>
        <w:t>066/06/106-2639/2022</w:t>
      </w:r>
      <w:bookmarkEnd w:id="0"/>
    </w:p>
    <w:p>
      <w:pPr>
        <w:pStyle w:val="Style15"/>
        <w:tabs>
          <w:tab w:leader="none" w:pos="8996" w:val="center"/>
          <w:tab w:leader="none" w:pos="9615" w:val="right"/>
        </w:tabs>
        <w:widowControl w:val="0"/>
        <w:keepNext w:val="0"/>
        <w:keepLines w:val="0"/>
        <w:shd w:val="clear" w:color="auto" w:fill="auto"/>
        <w:bidi w:val="0"/>
        <w:spacing w:before="0" w:after="249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04.08.2022</w:t>
        <w:tab/>
        <w:t>г.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9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14-00, при участии представителей: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уполномоченного органа в лице Администрации муниципального образования Красноуфимский округ, — *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заявителя в лице ООО «ВелеЭко», — *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отсутствие представителя заказчика в лице отдела ЖКХ АМО Красноуфимский округ, уведомленного надлежащим образом о месте и времени заседания Комиссии,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09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«ВелеЭко» (вх. № 4071-ЭП/22 от 01.08.2022г.) о нарушении заказчиком в лице отдела ЖКХ АМО Красноуфимский округ, уполномоченным органом в лице Администрации муниципального образования Красноуфимский округ, его комиссией при осуществлении электронного аукциона на поставку готовой к подключению мобильной автоматической приёмно - сливной станции для привозки стоков и жидких отходов с блоком очистки от мусора в надземном моноблочном исполнении в н.п. Сарана, Красноуфимского района, Свердловской области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"https://zakupki.gov.ru/epz/order/notice/ea20/view/common-info.html?regNumber=0162300019122000077"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0162300019122000077)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статьей 99, 106 Закона о контрактной системе,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221" w:line="190" w:lineRule="exact"/>
        <w:ind w:left="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«ВелеЭко» (вх. № 4071-ЭП/22 от 01.08.2022г.) о нарушении заказчиком в лице отдела ЖКХ АМО Красноуфимский округ, уполномоченным органом в лице Администрации муниципального образования Красноуфимский округ, его комиссией при осуществлении электронного аукциона на поставку готовой к подключению мобильной автоматической приёмно - сливной станции для привозки стоков и жидких отходов с блоком очистки от мусора в надземном моноблочном исполнении в н.п. Сарана, Красноуфимского района, Свердловской области (извещение №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"https://zakupki.gov.ru/epz/order/notice/ea20/view/common-info.html?regNumber=0162300019122000077"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 0162300019122000077)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, Закона о контрактной системе, соответствующая требованиям ст.105 Закона о контрактной системе.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заявка общества, по его мнению, неправомерно была отклонена от участия в данной закупочной процедуре по причине ее несоответствия требованиям извещения.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с доводами жалобы не согласился, просил признать жалобу необоснованной.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13.07.2022г. на официальном сайте опубликовано извещение о проведении электронного аукциона № </w:t>
      </w:r>
      <w:r>
        <w:fldChar w:fldCharType="begin"/>
      </w:r>
      <w:r>
        <w:rPr>
          <w:color w:val="000000"/>
        </w:rPr>
        <w:instrText> HYPERLINK "https://zakupki.gov.ru/epz/order/notice/ea20/view/common-info.html?regNumber=0162300019122000077"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0162300019122000077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на поставку готовой к подключению мобильной автоматической приёмно - сливной станции для привозки стоков и жидких отходов с блоком очистки от мусора в надземном моноблочном исполнении в н.п. Сарана, Красноуфимского района, Свердловской области.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17 951 325, 00 рублей.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"м"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"п" пункта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"а"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"в"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 43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закона. Заявка также может содержать информацию и документы, предусмотренные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подпунктом "д"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п.п. 1, 3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описание объекта закупки в соответствии со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статьей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закона;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 (п. 1 ч. 1 ст. 33 Закона о контрактной системе).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 2 ст. 33 Закона о контрактной системе описание объекта закупки в соответствии с требованиями, указанными в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пп. «а» п. 1 ч. 5 ст. 49 Закона о контрактной системе,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члены комиссии по осуществлению закупок: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4 части 4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пунктами 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8 части 12 статьи 48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 1 ч. 12 ст.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1) 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пунктами 2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3 части 6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22"/>
          <w:i w:val="0"/>
          <w:iCs w:val="0"/>
        </w:rPr>
        <w:t xml:space="preserve">Комиссией установлено, что наименованием объекта закупки является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«поставка готовой к подключению мобильной автоматической приёмно-сливной станции для привозки стоков и жидких отходов с блоком очистки от мусора в надземном моноблочном исполнении в н.п.СаранаКрасноуфимскогорайона Свердловской области»</w:t>
      </w:r>
      <w:r>
        <w:rPr>
          <w:rStyle w:val="CharStyle22"/>
          <w:i w:val="0"/>
          <w:iCs w:val="0"/>
        </w:rPr>
        <w:t xml:space="preserve"> (описание объекта закупки извещения).</w:t>
      </w:r>
    </w:p>
    <w:p>
      <w:pPr>
        <w:pStyle w:val="Style23"/>
        <w:framePr w:w="965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rStyle w:val="CharStyle25"/>
        </w:rPr>
        <w:t>Одной из требуемых заказчику характеристик к закупаемому им товару является следующее:</w:t>
      </w:r>
    </w:p>
    <w:tbl>
      <w:tblPr>
        <w:tblOverlap w:val="never"/>
        <w:tblLayout w:type="fixed"/>
        <w:jc w:val="center"/>
      </w:tblPr>
      <w:tblGrid>
        <w:gridCol w:w="1709"/>
        <w:gridCol w:w="3970"/>
        <w:gridCol w:w="3979"/>
      </w:tblGrid>
      <w:tr>
        <w:trPr>
          <w:trHeight w:val="50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120" w:line="190" w:lineRule="exact"/>
              <w:ind w:left="0" w:right="0" w:firstLine="0"/>
            </w:pPr>
            <w:r>
              <w:rPr>
                <w:rStyle w:val="CharStyle26"/>
              </w:rPr>
              <w:t>Наименование</w:t>
            </w:r>
          </w:p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120" w:after="0" w:line="190" w:lineRule="exact"/>
              <w:ind w:left="0" w:right="0" w:firstLine="0"/>
            </w:pPr>
            <w:r>
              <w:rPr>
                <w:rStyle w:val="CharStyle26"/>
              </w:rPr>
              <w:t>товара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6"/>
              </w:rPr>
              <w:t>Наименование показателя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6"/>
              </w:rPr>
              <w:t>Содержание (значение) показателя</w:t>
            </w:r>
          </w:p>
        </w:tc>
      </w:tr>
      <w:tr>
        <w:trPr>
          <w:trHeight w:val="307" w:hRule="exact"/>
        </w:trPr>
        <w:tc>
          <w:tcPr>
            <w:shd w:val="clear" w:color="auto" w:fill="FFFFFF"/>
            <w:vMerge w:val="restart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26"/>
              </w:rPr>
              <w:t>Мобильная автоматическая приемно - сливная станция для перевозки стоков и жидких отходов</w:t>
            </w:r>
          </w:p>
        </w:tc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6"/>
              </w:rPr>
              <w:t>Конструктивные характеристики</w:t>
            </w:r>
          </w:p>
        </w:tc>
      </w:tr>
      <w:tr>
        <w:trPr>
          <w:trHeight w:val="1675" w:hRule="exact"/>
        </w:trPr>
        <w:tc>
          <w:tcPr>
            <w:shd w:val="clear" w:color="auto" w:fill="FFFFFF"/>
            <w:vMerge/>
            <w:tcBorders>
              <w:left w:val="single" w:sz="4"/>
              <w:bottom w:val="single" w:sz="4"/>
            </w:tcBorders>
            <w:vAlign w:val="top"/>
          </w:tcPr>
          <w:p>
            <w:pPr>
              <w:framePr w:w="9658" w:wrap="notBeside" w:vAnchor="text" w:hAnchor="text" w:xAlign="center" w:y="1"/>
            </w:pP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26"/>
              </w:rPr>
              <w:t>Утепленный блок-контейнер с комплектными инженерными системами жизнеобеспечения, в том числе отопления, вентиляции, освещения, оконными и дверными системами.</w:t>
            </w:r>
          </w:p>
          <w:p>
            <w:pPr>
              <w:pStyle w:val="Style15"/>
              <w:framePr w:w="9658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26"/>
              </w:rPr>
              <w:t>Габаритные размеры, мм: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top"/>
          </w:tcPr>
          <w:p>
            <w:pPr>
              <w:pStyle w:val="Style15"/>
              <w:framePr w:w="9658" w:wrap="notBeside" w:vAnchor="text" w:hAnchor="text" w:xAlign="center" w:y="1"/>
              <w:tabs>
                <w:tab w:leader="none" w:pos="317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26"/>
              </w:rPr>
              <w:t>а)</w:t>
              <w:tab/>
              <w:t>длина - не более 11 700 и не менее 11 400;</w:t>
            </w:r>
          </w:p>
          <w:p>
            <w:pPr>
              <w:pStyle w:val="Style15"/>
              <w:framePr w:w="9658" w:wrap="notBeside" w:vAnchor="text" w:hAnchor="text" w:xAlign="center" w:y="1"/>
              <w:tabs>
                <w:tab w:leader="none" w:pos="341" w:val="left"/>
              </w:tabs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245" w:lineRule="exact"/>
              <w:ind w:left="120" w:right="0" w:firstLine="0"/>
            </w:pPr>
            <w:r>
              <w:rPr>
                <w:rStyle w:val="CharStyle26"/>
              </w:rPr>
              <w:t>б)</w:t>
              <w:tab/>
              <w:t>ширина - не более 3000 и не менее 2 700;</w:t>
            </w:r>
          </w:p>
          <w:p>
            <w:pPr>
              <w:pStyle w:val="Style15"/>
              <w:framePr w:w="9658" w:wrap="notBeside" w:vAnchor="text" w:hAnchor="text" w:xAlign="center" w:y="1"/>
              <w:tabs>
                <w:tab w:leader="none" w:pos="211" w:val="left"/>
              </w:tabs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45" w:lineRule="exact"/>
              <w:ind w:left="0" w:right="0" w:firstLine="0"/>
            </w:pPr>
            <w:r>
              <w:rPr>
                <w:rStyle w:val="CharStyle26"/>
              </w:rPr>
              <w:t>в)</w:t>
              <w:tab/>
              <w:t>высота -не более 3 500 и не менее 3000.</w:t>
            </w:r>
          </w:p>
        </w:tc>
      </w:tr>
    </w:tbl>
    <w:p>
      <w:pPr>
        <w:pStyle w:val="Style23"/>
        <w:framePr w:w="9658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27.07.2022г. закупочной комиссией была проведена процедура подведения итогов определения поставщика (подрядчика, исполнителя), по итогам которой был составлен </w:t>
      </w:r>
      <w:r>
        <w:fldChar w:fldCharType="begin"/>
      </w:r>
      <w:r>
        <w:rPr>
          <w:color w:val="000000"/>
        </w:rPr>
        <w:instrText> HYPERLINK "https://zakupki.gov.ru/epz/order/notice/ea20/view/protocol/protocol-main-info.html?regNumber=0162200011822000615&amp;protocolId=37200580" </w:instrText>
      </w:r>
      <w:r>
        <w:fldChar w:fldCharType="separate"/>
      </w:r>
      <w:r>
        <w:rPr>
          <w:rStyle w:val="Hyperlink"/>
          <w:lang w:val="ru-RU" w:eastAsia="ru-RU" w:bidi="ru-RU"/>
          <w:w w:val="100"/>
          <w:spacing w:val="0"/>
          <w:position w:val="0"/>
        </w:rPr>
        <w:t xml:space="preserve">протокол </w:t>
      </w:r>
      <w:r>
        <w:fldChar w:fldCharType="end"/>
      </w:r>
      <w:r>
        <w:rPr>
          <w:lang w:val="ru-RU" w:eastAsia="ru-RU" w:bidi="ru-RU"/>
          <w:w w:val="100"/>
          <w:spacing w:val="0"/>
          <w:color w:val="000000"/>
          <w:position w:val="0"/>
        </w:rPr>
        <w:t>№ 0162300019122000077 - 2 от 27.07.2022г., подписанный присутствующими на заседании членами комиссии и размещенный на сайте единой информационной системе в сфере закупок 27.07.2022г.</w: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rStyle w:val="CharStyle22"/>
          <w:i w:val="0"/>
          <w:iCs w:val="0"/>
        </w:rPr>
        <w:t xml:space="preserve">В соответствии с указанным протоколом заявка с идентификационным номером № 65 (ООО «ВелеЭко») была отклонена от участия в закупке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>«на основании п. 1 ч. 12 ст. 48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(далее-Федеральный закон № 44-ФЗ): непредставления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закупки,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Пояснение: согласно п.1 ч. 2 ст.42 Федерального закона 44-ФЗ извещение об осуществлении закупки должно содержать описание объекта закупки в соответствии со статьей 33 Федерального закона 44-ФЗ. Согласно ч.2 ст.33 44-ФЗ Описание объекта закупки должно содержать показатели, позволяющие определить соответствие закупаемого товара, установленным заказчиком требованиям. При этом указываются максимальные и (или) минимальные значения таких показателей и (или)значения показателей, которые не могут изменяться.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пп. а п.2 ч.1 ст.43 заявка на участие в закупке должна содержать характеристики предлагаемого участником закупки товара, соответствующее показателям, установленным в описании объекта закупки.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закупки не представил характеристики товара, соответствующие описанию объекта закупки, а именно не представлены: габаритные размеры, мм утепленного блок-контейнера с комплектными инженерными системами жизнеобеспечения, в том числе отопления, вентиляции, освещения, оконными и дверными системами.</w:t>
      </w:r>
    </w:p>
    <w:p>
      <w:pPr>
        <w:pStyle w:val="Style20"/>
        <w:widowControl w:val="0"/>
        <w:keepNext w:val="0"/>
        <w:keepLines w:val="0"/>
        <w:shd w:val="clear" w:color="auto" w:fill="auto"/>
        <w:bidi w:val="0"/>
        <w:spacing w:before="0" w:after="0"/>
        <w:ind w:left="20" w:right="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инструкции по заполнению заявки на участие в закупке - при подаче заявки должны применяться обозначения (единицы измерения, наименования показателей, технических, функциональных параметров) в соответствии с обозначениями, установленными в описании объекта закупки».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4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Возражая относительно принятого закупочной комиссией решения, представитель заявителя пояснил, что, подавая заявку на участие в данной закупочной процедуре, общество согласилось со всеми положениями извещения, включая содержание описания объекта закупки, содержащего в графе </w:t>
      </w:r>
      <w:r>
        <w:rPr>
          <w:rStyle w:val="CharStyle27"/>
        </w:rPr>
        <w:t xml:space="preserve">«наименование показателя»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указание на габаритные размеры, измеряемые в миллиметрах.</w:t>
      </w:r>
    </w:p>
    <w:p>
      <w:pPr>
        <w:pStyle w:val="Style23"/>
        <w:framePr w:w="9672" w:wrap="notBeside" w:vAnchor="text" w:hAnchor="text" w:xAlign="center" w:y="1"/>
        <w:tabs>
          <w:tab w:leader="underscore" w:pos="9658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заявка общества на участие в данной закупочной процедуре была </w:t>
      </w:r>
      <w:r>
        <w:rPr>
          <w:rStyle w:val="CharStyle25"/>
        </w:rPr>
        <w:t>оформлена следующим образом: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</w:r>
    </w:p>
    <w:tbl>
      <w:tblPr>
        <w:tblOverlap w:val="never"/>
        <w:tblLayout w:type="fixed"/>
        <w:jc w:val="center"/>
      </w:tblPr>
      <w:tblGrid>
        <w:gridCol w:w="4834"/>
        <w:gridCol w:w="4838"/>
      </w:tblGrid>
      <w:tr>
        <w:trPr>
          <w:trHeight w:val="312" w:hRule="exact"/>
        </w:trPr>
        <w:tc>
          <w:tcPr>
            <w:shd w:val="clear" w:color="auto" w:fill="FFFFFF"/>
            <w:gridSpan w:val="2"/>
            <w:tcBorders>
              <w:left w:val="single" w:sz="4"/>
              <w:right w:val="single" w:sz="4"/>
              <w:top w:val="single" w:sz="4"/>
            </w:tcBorders>
            <w:vAlign w:val="top"/>
          </w:tcPr>
          <w:p>
            <w:pPr>
              <w:pStyle w:val="Style15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90" w:lineRule="exact"/>
              <w:ind w:left="0" w:right="0" w:firstLine="0"/>
            </w:pPr>
            <w:r>
              <w:rPr>
                <w:rStyle w:val="CharStyle26"/>
              </w:rPr>
              <w:t>Конструктивные характеристики</w:t>
            </w:r>
          </w:p>
        </w:tc>
      </w:tr>
      <w:tr>
        <w:trPr>
          <w:trHeight w:val="49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5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26"/>
              </w:rPr>
              <w:t>Утепленный блок-контейнер с комплектными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5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20" w:right="0" w:firstLine="0"/>
            </w:pPr>
            <w:r>
              <w:rPr>
                <w:rStyle w:val="CharStyle26"/>
              </w:rPr>
              <w:t>а) длина -11700;</w:t>
            </w:r>
          </w:p>
        </w:tc>
      </w:tr>
      <w:tr>
        <w:trPr>
          <w:trHeight w:val="250" w:hRule="exact"/>
        </w:trPr>
        <w:tc>
          <w:tcPr>
            <w:shd w:val="clear" w:color="auto" w:fill="FFFFFF"/>
            <w:tcBorders>
              <w:left w:val="single" w:sz="4"/>
            </w:tcBorders>
            <w:vAlign w:val="bottom"/>
          </w:tcPr>
          <w:p>
            <w:pPr>
              <w:pStyle w:val="Style15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26"/>
              </w:rPr>
              <w:t>инженерными системами жизнеобеспечения, в том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</w:tcBorders>
            <w:vAlign w:val="bottom"/>
          </w:tcPr>
          <w:p>
            <w:pPr>
              <w:pStyle w:val="Style15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20" w:right="0" w:firstLine="0"/>
            </w:pPr>
            <w:r>
              <w:rPr>
                <w:rStyle w:val="CharStyle26"/>
              </w:rPr>
              <w:t>б) ширина -3000;</w:t>
            </w:r>
          </w:p>
        </w:tc>
      </w:tr>
      <w:tr>
        <w:trPr>
          <w:trHeight w:val="782" w:hRule="exact"/>
        </w:trPr>
        <w:tc>
          <w:tcPr>
            <w:shd w:val="clear" w:color="auto" w:fill="FFFFFF"/>
            <w:tcBorders>
              <w:left w:val="single" w:sz="4"/>
              <w:bottom w:val="single" w:sz="4"/>
            </w:tcBorders>
            <w:vAlign w:val="top"/>
          </w:tcPr>
          <w:p>
            <w:pPr>
              <w:pStyle w:val="Style15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26"/>
              </w:rPr>
              <w:t>числе отопления, вентиляции, освещения, оконными и дверными системами. (схема 1.)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bottom w:val="single" w:sz="4"/>
            </w:tcBorders>
            <w:vAlign w:val="top"/>
          </w:tcPr>
          <w:p>
            <w:pPr>
              <w:pStyle w:val="Style15"/>
              <w:framePr w:w="9672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left"/>
              <w:spacing w:before="0" w:after="0" w:line="190" w:lineRule="exact"/>
              <w:ind w:left="220" w:right="0" w:firstLine="0"/>
            </w:pPr>
            <w:r>
              <w:rPr>
                <w:rStyle w:val="CharStyle26"/>
              </w:rPr>
              <w:t>в) высота - 3500.</w:t>
            </w:r>
          </w:p>
        </w:tc>
      </w:tr>
    </w:tbl>
    <w:p>
      <w:pPr>
        <w:pStyle w:val="Style23"/>
        <w:framePr w:w="9672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Схема 1.</w:t>
      </w:r>
    </w:p>
    <w:p>
      <w:pPr>
        <w:widowControl w:val="0"/>
        <w:rPr>
          <w:sz w:val="2"/>
          <w:szCs w:val="2"/>
        </w:rPr>
      </w:pPr>
    </w:p>
    <w:p>
      <w:pPr>
        <w:pStyle w:val="Style3"/>
        <w:framePr w:w="2758" w:h="697" w:wrap="notBeside" w:vAnchor="text" w:hAnchor="margin" w:x="1651" w:y="427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20" w:right="0" w:firstLine="0"/>
      </w:pPr>
      <w:r>
        <w:rPr>
          <w:rStyle w:val="CharStyle5"/>
          <w:b/>
          <w:bCs/>
          <w:i/>
          <w:iCs/>
          <w:spacing w:val="-10"/>
        </w:rPr>
        <w:t>1 Приёмный отсек</w:t>
      </w:r>
    </w:p>
    <w:p>
      <w:pPr>
        <w:pStyle w:val="Style6"/>
        <w:numPr>
          <w:ilvl w:val="0"/>
          <w:numId w:val="1"/>
        </w:numPr>
        <w:framePr w:w="2758" w:h="697" w:wrap="notBeside" w:vAnchor="text" w:hAnchor="margin" w:x="1651" w:y="427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8"/>
          <w:b/>
          <w:bCs/>
          <w:i/>
          <w:iCs/>
          <w:spacing w:val="-20"/>
        </w:rPr>
        <w:t xml:space="preserve"> </w:t>
      </w:r>
      <w:r>
        <w:rPr>
          <w:rStyle w:val="CharStyle9"/>
          <w:b/>
          <w:bCs/>
          <w:i/>
          <w:iCs/>
          <w:spacing w:val="-20"/>
        </w:rPr>
        <w:t xml:space="preserve">Технологический </w:t>
      </w:r>
      <w:r>
        <w:rPr>
          <w:rStyle w:val="CharStyle10"/>
          <w:b/>
          <w:bCs/>
          <w:i/>
          <w:iCs/>
          <w:spacing w:val="-20"/>
        </w:rPr>
        <w:t>отсек</w:t>
      </w:r>
    </w:p>
    <w:p>
      <w:pPr>
        <w:pStyle w:val="Style6"/>
        <w:numPr>
          <w:ilvl w:val="0"/>
          <w:numId w:val="1"/>
        </w:numPr>
        <w:framePr w:w="2758" w:h="697" w:wrap="notBeside" w:vAnchor="text" w:hAnchor="margin" w:x="1651" w:y="427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120" w:right="0" w:firstLine="0"/>
      </w:pPr>
      <w:r>
        <w:rPr>
          <w:rStyle w:val="CharStyle8"/>
          <w:b/>
          <w:bCs/>
          <w:i/>
          <w:iCs/>
          <w:spacing w:val="-20"/>
        </w:rPr>
        <w:t xml:space="preserve"> </w:t>
      </w:r>
      <w:r>
        <w:rPr>
          <w:rStyle w:val="CharStyle10"/>
          <w:b/>
          <w:bCs/>
          <w:i/>
          <w:iCs/>
          <w:spacing w:val="-20"/>
        </w:rPr>
        <w:t>Зг/ёктрощияюбвй ошеек</w:t>
      </w:r>
    </w:p>
    <w:p>
      <w:pPr>
        <w:pStyle w:val="Style28"/>
        <w:widowControl w:val="0"/>
        <w:keepNext/>
        <w:keepLines/>
        <w:shd w:val="clear" w:color="auto" w:fill="auto"/>
        <w:bidi w:val="0"/>
        <w:spacing w:before="211" w:after="492" w:line="240" w:lineRule="exact"/>
        <w:ind w:left="20" w:right="0" w:firstLine="0"/>
      </w:pPr>
      <w:bookmarkStart w:id="2" w:name="bookmark2"/>
      <w:r>
        <w:rPr>
          <w:rStyle w:val="CharStyle30"/>
        </w:rPr>
        <w:t xml:space="preserve">Принципиальная схема </w:t>
      </w:r>
      <w:r>
        <w:rPr>
          <w:rStyle w:val="CharStyle31"/>
        </w:rPr>
        <w:t>1</w:t>
      </w:r>
      <w:bookmarkEnd w:id="2"/>
    </w:p>
    <w:p>
      <w:pPr>
        <w:framePr w:h="2472" w:wrap="notBeside" w:vAnchor="text" w:hAnchor="text" w:xAlign="right" w:y="1"/>
        <w:widowControl w:val="0"/>
        <w:jc w:val="right"/>
        <w:rPr>
          <w:sz w:val="2"/>
          <w:szCs w:val="2"/>
        </w:rPr>
      </w:pPr>
      <w:r>
        <w:pict>
          <v:shape id="_x0000_s1027" type="#_x0000_t75" style="width:402pt;height:124pt;">
            <v:imagedata r:id="rId7" r:href="rId8"/>
          </v:shape>
        </w:pict>
      </w:r>
    </w:p>
    <w:p>
      <w:pPr>
        <w:widowControl w:val="0"/>
        <w:rPr>
          <w:sz w:val="2"/>
          <w:szCs w:val="2"/>
        </w:rPr>
      </w:pPr>
      <w:r>
        <w:br w:type="page"/>
      </w:r>
    </w:p>
    <w:p>
      <w:pPr>
        <w:widowControl w:val="0"/>
      </w:pPr>
      <w:r>
        <w:br w:type="page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Проанализировав состав заявки заявителя, Комиссия приходит к выводу о необоснованности доводов жалобы по следующим основаниями.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«а» Приложения №1 к Требованиям к содержанию и составу заявки участника заявка должна содержать предложение участника закупки в отношении объекта закупки: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а) характеристики предлагаемого участником закупки товара, соответствующие показателям, установленным в описании объекта закупки, товарный знак (при наличии у товара товарного знака).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закупки может предложить, как конкретное, так и диапазонное значение показателя товара, которое соответствует значению и не противоречит требованиям, установленным в столбце «Характеристики товара».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состав заявки общества, Комиссией не установлено в ней наличие указания на единицу измерения предлагаемых заявителем характеристик товара: ни в столбце «наименование показателя», ни в столбце «содержание (значение) показателя».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3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Указанное обстоятельство свидетельствует об отсутствие в заявке заявителя указания на предлагаемые им характеристики товара, соответствующие описанию объекта закупки, а именно: отсутствует указание на единицу измерения, габаритные размеры (мм), что не соответствует требованиям п. «а» Приложения №1 к Требованиям к содержанию и составу заявки.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09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134" w:line="190" w:lineRule="exact"/>
        <w:ind w:left="0" w:right="0" w:firstLine="0"/>
      </w:pPr>
      <w:bookmarkStart w:id="3" w:name="bookmark3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3"/>
    </w:p>
    <w:p>
      <w:pPr>
        <w:pStyle w:val="Style15"/>
        <w:numPr>
          <w:ilvl w:val="0"/>
          <w:numId w:val="5"/>
        </w:numPr>
        <w:tabs>
          <w:tab w:leader="none" w:pos="1394" w:val="left"/>
        </w:tabs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«ВелеЭко» признать необоснованной.</w:t>
      </w:r>
    </w:p>
    <w:p>
      <w:pPr>
        <w:pStyle w:val="Style15"/>
        <w:numPr>
          <w:ilvl w:val="0"/>
          <w:numId w:val="5"/>
        </w:numPr>
        <w:tabs>
          <w:tab w:leader="none" w:pos="1394" w:val="left"/>
        </w:tabs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отдела ЖКХ АМО Красноуфимский округ, уполномоченного органа в лице Администрации муниципального образования Красноуфимский округ, его комиссии нарушений Закона о контрактной системе не выявлено.</w:t>
      </w:r>
    </w:p>
    <w:p>
      <w:pPr>
        <w:pStyle w:val="Style15"/>
        <w:numPr>
          <w:ilvl w:val="0"/>
          <w:numId w:val="5"/>
        </w:numPr>
        <w:tabs>
          <w:tab w:leader="none" w:pos="1394" w:val="left"/>
        </w:tabs>
        <w:widowControl w:val="0"/>
        <w:keepNext w:val="0"/>
        <w:keepLines w:val="0"/>
        <w:shd w:val="clear" w:color="auto" w:fill="auto"/>
        <w:bidi w:val="0"/>
        <w:spacing w:before="0" w:after="184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 в лице отдела ЖКХ АМО Красноуфимский округ, уполномоченного органа в лице Администрации муниципального образования Красноуфимский округ, его комиссии предписание об устранении нарушений законодательства о контрактной системе не выдавать.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65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32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headerReference w:type="default" r:id="rId9"/>
      <w:titlePg/>
      <w:footnotePr>
        <w:pos w:val="pageBottom"/>
        <w:numFmt w:val="decimal"/>
        <w:numRestart w:val="continuous"/>
      </w:footnotePr>
      <w:type w:val="continuous"/>
      <w:pgSz w:w="11909" w:h="16838"/>
      <w:pgMar w:top="1496" w:left="1125" w:right="1101" w:bottom="109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95.65pt;margin-top:56.4pt;width:5.3pt;height:7.9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17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9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lang w:val="ru-RU" w:eastAsia="ru-RU" w:bidi="ru-RU"/>
        <w:b/>
        <w:bCs/>
        <w:i/>
        <w:iCs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-19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3) Exact"/>
    <w:basedOn w:val="DefaultParagraphFont"/>
    <w:link w:val="Style3"/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5"/>
    </w:rPr>
  </w:style>
  <w:style w:type="character" w:customStyle="1" w:styleId="CharStyle5">
    <w:name w:val="Основной текст (3) Exact"/>
    <w:basedOn w:val="CharStyle4"/>
    <w:rPr>
      <w:lang w:val="ru-RU" w:eastAsia="ru-RU" w:bidi="ru-RU"/>
      <w:w w:val="100"/>
      <w:color w:val="000000"/>
      <w:position w:val="0"/>
    </w:rPr>
  </w:style>
  <w:style w:type="character" w:customStyle="1" w:styleId="CharStyle7">
    <w:name w:val="Основной текст (4) Exact"/>
    <w:basedOn w:val="DefaultParagraphFont"/>
    <w:link w:val="Style6"/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  <w:spacing w:val="-19"/>
    </w:rPr>
  </w:style>
  <w:style w:type="character" w:customStyle="1" w:styleId="CharStyle8">
    <w:name w:val="Основной текст (4) Exact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9">
    <w:name w:val="Основной текст (4) Exact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0">
    <w:name w:val="Основной текст (4) Exact"/>
    <w:basedOn w:val="CharStyle7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12">
    <w:name w:val="Заголовок №2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3">
    <w:name w:val="Заголовок №2"/>
    <w:basedOn w:val="CharStyle12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4">
    <w:name w:val="Заголовок №2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8">
    <w:name w:val="Колонтитул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9">
    <w:name w:val="Колонтитул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2)_"/>
    <w:basedOn w:val="DefaultParagraphFont"/>
    <w:link w:val="Style20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2">
    <w:name w:val="Основной текст (2) + Не курсив"/>
    <w:basedOn w:val="CharStyle2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4">
    <w:name w:val="Подпись к таблице_"/>
    <w:basedOn w:val="DefaultParagraphFont"/>
    <w:link w:val="Style23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25">
    <w:name w:val="Подпись к таблице"/>
    <w:basedOn w:val="CharStyle2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16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 + Курсив"/>
    <w:basedOn w:val="CharStyle16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29">
    <w:name w:val="Заголовок №1_"/>
    <w:basedOn w:val="DefaultParagraphFont"/>
    <w:link w:val="Style28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0"/>
    </w:rPr>
  </w:style>
  <w:style w:type="character" w:customStyle="1" w:styleId="CharStyle30">
    <w:name w:val="Заголовок №1"/>
    <w:basedOn w:val="CharStyle29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31">
    <w:name w:val="Заголовок №1"/>
    <w:basedOn w:val="CharStyle29"/>
    <w:rPr>
      <w:lang w:val="ru-RU" w:eastAsia="ru-RU" w:bidi="ru-RU"/>
      <w:sz w:val="24"/>
      <w:szCs w:val="24"/>
      <w:w w:val="100"/>
      <w:color w:val="000000"/>
      <w:position w:val="0"/>
    </w:rPr>
  </w:style>
  <w:style w:type="character" w:customStyle="1" w:styleId="CharStyle33">
    <w:name w:val="Основной текст (5)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Основной текст (3)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-15"/>
    </w:rPr>
  </w:style>
  <w:style w:type="paragraph" w:customStyle="1" w:styleId="Style6">
    <w:name w:val="Основной текст (4)"/>
    <w:basedOn w:val="Normal"/>
    <w:link w:val="CharStyle7"/>
    <w:pPr>
      <w:widowControl w:val="0"/>
      <w:shd w:val="clear" w:color="auto" w:fill="FFFFFF"/>
      <w:spacing w:line="0" w:lineRule="exact"/>
    </w:pPr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  <w:spacing w:val="-19"/>
    </w:rPr>
  </w:style>
  <w:style w:type="paragraph" w:customStyle="1" w:styleId="Style11">
    <w:name w:val="Заголовок №2"/>
    <w:basedOn w:val="Normal"/>
    <w:link w:val="CharStyle12"/>
    <w:pPr>
      <w:widowControl w:val="0"/>
      <w:shd w:val="clear" w:color="auto" w:fill="FFFFFF"/>
      <w:jc w:val="center"/>
      <w:outlineLvl w:val="1"/>
      <w:spacing w:before="180" w:after="60" w:line="245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jc w:val="both"/>
      <w:spacing w:before="60" w:after="300"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7">
    <w:name w:val="Колонтитул"/>
    <w:basedOn w:val="Normal"/>
    <w:link w:val="CharStyle18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0">
    <w:name w:val="Основной текст (2)"/>
    <w:basedOn w:val="Normal"/>
    <w:link w:val="CharStyle21"/>
    <w:pPr>
      <w:widowControl w:val="0"/>
      <w:shd w:val="clear" w:color="auto" w:fill="FFFFFF"/>
      <w:jc w:val="both"/>
      <w:spacing w:line="226" w:lineRule="exact"/>
      <w:ind w:firstLine="720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3">
    <w:name w:val="Подпись к таблице"/>
    <w:basedOn w:val="Normal"/>
    <w:link w:val="CharStyle24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28">
    <w:name w:val="Заголовок №1"/>
    <w:basedOn w:val="Normal"/>
    <w:link w:val="CharStyle29"/>
    <w:pPr>
      <w:widowControl w:val="0"/>
      <w:shd w:val="clear" w:color="auto" w:fill="FFFFFF"/>
      <w:jc w:val="center"/>
      <w:outlineLvl w:val="0"/>
      <w:spacing w:before="240" w:after="54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  <w:spacing w:val="-10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FFFFFF"/>
      <w:spacing w:before="18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