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098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9pt;height:55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" w:after="197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293"/>
        <w:ind w:left="20" w:right="0" w:firstLine="0"/>
      </w:pPr>
      <w:bookmarkStart w:id="0" w:name="bookmark0"/>
      <w:r>
        <w:rPr>
          <w:rStyle w:val="CharStyle7"/>
          <w:b w:val="0"/>
          <w:bCs w:val="0"/>
        </w:rPr>
        <w:t xml:space="preserve">УПРАВЛЕНИЕ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Вологодской области</w:t>
      </w:r>
      <w:bookmarkEnd w:id="0"/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93" w:line="240" w:lineRule="exact"/>
        <w:ind w:left="40" w:right="14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160000, г. Вологда, ул. Пушкинская, 25, тел. (8172)72-99-70; факс (8172)72-46-64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0"/>
        </w:rPr>
        <w:instrText> HYPERLINK "mailto:to35@fas.gov.ru" </w:instrText>
      </w:r>
      <w:r>
        <w:fldChar w:fldCharType="separate"/>
      </w:r>
      <w:r>
        <w:rPr>
          <w:rStyle w:val="Hyperlink"/>
        </w:rPr>
        <w:t>to35@fas.gov.ru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"http://vologda.fas.gov.ru"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http://vologda.fas.gov.ru</w:t>
      </w:r>
      <w:bookmarkEnd w:id="1"/>
      <w:r>
        <w:fldChar w:fldCharType="end"/>
      </w:r>
    </w:p>
    <w:p>
      <w:pPr>
        <w:pStyle w:val="Style5"/>
        <w:widowControl w:val="0"/>
        <w:keepNext/>
        <w:keepLines/>
        <w:shd w:val="clear" w:color="auto" w:fill="auto"/>
        <w:bidi w:val="0"/>
        <w:jc w:val="left"/>
        <w:spacing w:before="0" w:after="0" w:line="240" w:lineRule="exact"/>
        <w:ind w:left="442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  <w:bookmarkEnd w:id="2"/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69"/>
        <w:ind w:left="4420" w:right="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ЧОО «Эгида»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ohrana@egida3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5 </w:t>
      </w:r>
      <w:r>
        <w:rPr>
          <w:lang w:val="en-US" w:eastAsia="en-US" w:bidi="en-US"/>
          <w:w w:val="100"/>
          <w:spacing w:val="0"/>
          <w:color w:val="000000"/>
          <w:position w:val="0"/>
        </w:rPr>
        <w:t>.ru</w:t>
      </w:r>
    </w:p>
    <w:p>
      <w:pPr>
        <w:pStyle w:val="Style5"/>
        <w:widowControl w:val="0"/>
        <w:keepNext/>
        <w:keepLines/>
        <w:shd w:val="clear" w:color="auto" w:fill="auto"/>
        <w:bidi w:val="0"/>
        <w:jc w:val="left"/>
        <w:spacing w:before="0" w:after="0" w:line="270" w:lineRule="exact"/>
        <w:ind w:left="4420" w:right="0" w:firstLine="0"/>
      </w:pPr>
      <w:bookmarkStart w:id="3" w:name="bookmark3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  <w:bookmarkEnd w:id="3"/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17" w:line="270" w:lineRule="exact"/>
        <w:ind w:left="4420" w:right="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БОУ ВО «Грязовецкая школа-интернат для обучающихся с ОВЗ по слуху» </w:t>
      </w:r>
      <w:r>
        <w:fldChar w:fldCharType="begin"/>
      </w:r>
      <w:r>
        <w:rPr>
          <w:color w:val="000000"/>
        </w:rPr>
        <w:instrText> HYPERLINK "mailto:secretar-12035@obr.edu35.ru"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secretar-12035@obr.edu35.ru</w:t>
      </w:r>
      <w:r>
        <w:fldChar w:fldCharType="end"/>
      </w:r>
    </w:p>
    <w:p>
      <w:pPr>
        <w:pStyle w:val="Style5"/>
        <w:widowControl w:val="0"/>
        <w:keepNext/>
        <w:keepLines/>
        <w:shd w:val="clear" w:color="auto" w:fill="auto"/>
        <w:bidi w:val="0"/>
        <w:jc w:val="left"/>
        <w:spacing w:before="0" w:after="0" w:line="299" w:lineRule="exact"/>
        <w:ind w:left="4420" w:right="0" w:firstLine="0"/>
      </w:pPr>
      <w:bookmarkStart w:id="4" w:name="bookmark4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Уполномоченное учреждение:</w:t>
      </w:r>
      <w:bookmarkEnd w:id="4"/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87" w:line="299" w:lineRule="exact"/>
        <w:ind w:left="4420" w:right="980" w:firstLine="0"/>
      </w:pPr>
      <w:bookmarkStart w:id="5" w:name="bookmark5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КУ ВО «Центр закупок» </w:t>
      </w:r>
      <w:r>
        <w:fldChar w:fldCharType="begin"/>
      </w:r>
      <w:r>
        <w:rPr>
          <w:rStyle w:val="CharStyle13"/>
        </w:rPr>
        <w:instrText> HYPERLINK "mailto:cz@cz.gov35.ru" </w:instrText>
      </w:r>
      <w:r>
        <w:fldChar w:fldCharType="separate"/>
      </w:r>
      <w:r>
        <w:rPr>
          <w:rStyle w:val="Hyperlink"/>
        </w:rPr>
        <w:t>cz@cz.gov35.ru</w:t>
      </w:r>
      <w:bookmarkEnd w:id="5"/>
      <w:r>
        <w:fldChar w:fldCharType="end"/>
      </w:r>
    </w:p>
    <w:p>
      <w:pPr>
        <w:pStyle w:val="Style5"/>
        <w:widowControl w:val="0"/>
        <w:keepNext/>
        <w:keepLines/>
        <w:shd w:val="clear" w:color="auto" w:fill="auto"/>
        <w:bidi w:val="0"/>
        <w:jc w:val="left"/>
        <w:spacing w:before="0" w:after="0" w:line="240" w:lineRule="exact"/>
        <w:ind w:left="4420" w:right="0" w:firstLine="0"/>
      </w:pPr>
      <w:bookmarkStart w:id="6" w:name="bookmark6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  <w:bookmarkEnd w:id="6"/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98" w:line="220" w:lineRule="exact"/>
        <w:ind w:left="4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РТС-тендер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193" w:line="220" w:lineRule="exact"/>
        <w:ind w:left="20" w:right="0" w:firstLine="0"/>
      </w:pPr>
      <w:bookmarkStart w:id="7" w:name="bookmark7"/>
      <w:r>
        <w:rPr>
          <w:lang w:val="ru-RU" w:eastAsia="ru-RU" w:bidi="ru-RU"/>
          <w:w w:val="100"/>
          <w:spacing w:val="0"/>
          <w:color w:val="000000"/>
          <w:position w:val="0"/>
        </w:rPr>
        <w:t>РЕШЕНИЕ № 035/06/33-408/2022</w:t>
      </w:r>
      <w:bookmarkEnd w:id="7"/>
    </w:p>
    <w:p>
      <w:pPr>
        <w:pStyle w:val="Style11"/>
        <w:tabs>
          <w:tab w:leader="none" w:pos="8432" w:val="right"/>
          <w:tab w:leader="none" w:pos="858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50" w:line="22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 августа 2022 г.</w:t>
        <w:tab/>
        <w:t>г.</w:t>
        <w:tab/>
        <w:t>Вологда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Управления Федеральной антимонопольной службы по Вологодской области (далее - Комиссия У ФАС, Комиссия Управления) в составе: Ростиславова А.А. - временно исполняющий обязанности руководителя Управления Федеральной антимонопольной службы по Вологодской области, председатель Комиссии Управления,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Сучков О.Н. - помощник руководителя Управления Федеральной антимонопольной службы по Вологодской области, член Комиссии Управления,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Предтеченская Е.Н. - начальник отдела контроля органов власти и закупок Управления Федеральной антимонопольной службы по Вологодской области, член Комиссии Управления, Кузнецова Ю.Н. - старший государственный инспектор отдела контроля органов власти и закупок Управления Федеральной антимонопольной службы по Вологодской области, член Комиссии Управления,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ЧОО «Эгида» (далее - Заявитель) на положения извещения при проведении аукциона в электронной форме «Оказание охранных услуг (физическая охрана) объектов БОУ ВО "Грязовецкая школа-интернат для обучающихся с ОВЗ по слуху" и прилегающих к нему территорий в сентябре-декабре 2022 года», извещение № 0830500000222002141, Заказчик - БОУ ВО «Грязовецкая школа-интернат для обучающихся с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ОВЗ по слуху» (далее - Заказчик), уполномоченное учреждение - КУ ВО «Центр закупок» (далее - Уполномоченное учреждение) при участии представителей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Уполномоченного учреждения - Гудиной А.В. (руководитель), Токановой Ю.В. (по доверенности),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172" w:line="284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без участия представителей Заказчика (ходатайство от 03.08.2022 № 01-21/312) и Заявителя (о дате и времени рассмотрения уведомлен надлежащим образом, ссылка на ВКС направлена)</w:t>
      </w:r>
    </w:p>
    <w:p>
      <w:pPr>
        <w:pStyle w:val="Style19"/>
        <w:widowControl w:val="0"/>
        <w:keepNext/>
        <w:keepLines/>
        <w:shd w:val="clear" w:color="auto" w:fill="auto"/>
        <w:bidi w:val="0"/>
        <w:jc w:val="left"/>
        <w:spacing w:before="0" w:after="209" w:line="220" w:lineRule="exact"/>
        <w:ind w:left="4340" w:right="0" w:firstLine="0"/>
      </w:pPr>
      <w:bookmarkStart w:id="8" w:name="bookmark8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8"/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Единой информационной системе в сфере закупок (далее - ЕИС) размещена жалоба ООО ЧОО «Эгида» на положения извещения при проведении аукциона в электронной форме «Оказание охранных услуг (физическая охрана) объектов БОУ ВО "Грязовецкая школа-интернат для обучающихся с ОВЗ по слуху" и прилегающих к нему территорий в сентябре-декабре 2022 года», извещение № 0830500000222002141 (далее - аукцион, закупка), противоречащие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Заявителя подана в надлежащий срок и соответствует требованиям, предусмотренным ст. 105 Закона о контрактной системе.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жалобе Заявитель приводит следующие доводы.</w:t>
      </w:r>
    </w:p>
    <w:p>
      <w:pPr>
        <w:pStyle w:val="Style1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Исходя из Описания объекта закупки, потенциальному исполнителю представляется сложным определить, какой вид услуг закупается: организация постов невооруженной физической охраны или организация пультовой вооруженной охраны в форме реагирования на сигнальную информацию технических средств охраны с выездом мобильной группы на объект.</w:t>
      </w:r>
    </w:p>
    <w:p>
      <w:pPr>
        <w:pStyle w:val="Style1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Описании объекта закупки и в проекте контракта не содержится описания действий исполнителя по использованию мобильной группы.</w:t>
      </w:r>
    </w:p>
    <w:p>
      <w:pPr>
        <w:pStyle w:val="Style1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мнению Заявителя, разъяснения положений извещения о закупке не содержат ответов на поставленные вопросы.</w:t>
      </w:r>
    </w:p>
    <w:p>
      <w:pPr>
        <w:pStyle w:val="Style1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в формулу НМЦК не включен показатель «Сзж», корректирующий коэффициент «Цд2», а так же ряд иных коэффициентов..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и Уполномоченным учреждением предоставлены возражения на жалобу. С доводами жалобы Заказчик и Уполномоченное учреждение не согласны, считают, что извещение об аукционе не содержит положений и документов, противоречащих требованиям Закона о контрактной системе, просят признать жалобу необоснованной.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Заседание Комиссии УФ АС проведено посредством видеоконференцсвязи.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 ФАС, рассмотрев представленные материалы, пришла к следующему выводу.</w:t>
      </w:r>
    </w:p>
    <w:p>
      <w:pPr>
        <w:pStyle w:val="Style1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ЕИС размещен документ «Извещение о проведении электронного аукциона от 17.05.2022 №0830500000222001394».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контракта: 847 743,84 руб.</w:t>
      </w:r>
    </w:p>
    <w:p>
      <w:pPr>
        <w:pStyle w:val="Style11"/>
        <w:tabs>
          <w:tab w:leader="none" w:pos="5698" w:val="center"/>
          <w:tab w:leader="none" w:pos="6371" w:val="center"/>
          <w:tab w:leader="none" w:pos="6717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8" w:line="220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окончания подачи заявок:</w:t>
        <w:tab/>
        <w:t>03.08.2022</w:t>
        <w:tab/>
        <w:t>в</w:t>
        <w:tab/>
        <w:t>8:00.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со ст. 7 Закона о контрактной системе открытость и прозрачность информации, указанной в ч. 1 настоящей статьи, обеспечиваются, в частности, путем ее размещения в единой информационной системе. Информация, предусмотренная Федеральным законом и размещенная в единой информационной системе, должна быть полной и достоверной.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ст.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1"/>
        <w:numPr>
          <w:ilvl w:val="0"/>
          <w:numId w:val="7"/>
        </w:numPr>
        <w:tabs>
          <w:tab w:leader="none" w:pos="76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Объектом закупки являются услуги постовой невооруженной охраны. Заказчиком применен код позиции КТРУ 80.10.12.000-0000003.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указанной позицией КТРУ Описание объекта закупки должно содержать следующие характеристики: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«Единица измерения: Человеко-час</w:t>
      </w:r>
    </w:p>
    <w:p>
      <w:pPr>
        <w:pStyle w:val="Style11"/>
        <w:tabs>
          <w:tab w:leader="none" w:pos="982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Вид услуги по охране: Охрана имущества, а также обеспечение внутриобъектового режима на объектах, в отношении которых установлены обязательные для выполнения требования к антитеррористической защищенности, Охрана объектов, а также обеспечение пропускного режима на объектах, в отношении которых установлены обязательные для выполнения требования к антитеррористической защищенности, Охрана объектов, а также обеспечение внутриобъектового режима на объектах, в отношении которых установлены обязательные для выполнения требования к антитеррористической защищенности, Охрана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информацию, Охрана объектов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информацию. Охрана имущества (в том числе при его транспортировке), находящихся в собственности, во владении, в пользовании, хозяйственном ведении, оперативном управлении или доверительном управлении, за исключением имущества, в отношении которых установлены обязательные для выполнения</w:t>
        <w:tab/>
        <w:t>требования к</w:t>
      </w:r>
    </w:p>
    <w:p>
      <w:pPr>
        <w:pStyle w:val="Style11"/>
        <w:tabs>
          <w:tab w:leader="none" w:pos="982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антитеррористической защищенности, Охрана объектов, находящихся в собственности, во владении, в пользовании, хозяйственном ведении, оперативном управлении или доверительном управлении, за исключением объектов, в отношении которых установлены обязательные для выполнения требования к антитеррористической</w:t>
        <w:tab/>
        <w:t>защищенности.</w:t>
      </w:r>
    </w:p>
    <w:p>
      <w:pPr>
        <w:pStyle w:val="Style11"/>
        <w:tabs>
          <w:tab w:leader="none" w:pos="982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0"/>
        <w:sectPr>
          <w:headerReference w:type="even" r:id="rId7"/>
          <w:headerReference w:type="default" r:id="rId8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1028" w:left="1555" w:right="500" w:bottom="96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Обеспечение порядка в местах проведения массовых мероприятий, Обеспечение пропускного режима на объектах, за исключением объектов, в отношении которых установлены обязательные для выполнения требования к антитеррористической</w:t>
        <w:tab/>
        <w:t>защищенности,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Обеспечение внутриобъектового режима на объектах, за исключением объектов, в отношении которых установлены обязательные для выполнения требования к антитеррористической защищенности, Охрана имущества, а также обеспечение пропускного режима на объектах, в отношении которых установлены обязательные для выполнения требования к антитеррористической защищенности; Использование мобильной группы: Да; Использование специальных средств: Да , Нет».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Описания объекта закупки наличие оружия у сотрудников охраны не предусмотрено. Кроме этого, предусмотрено наличие у исполнителя мобильной группы (далее - ГБР), вооруженной служебным оружием. Указанное требование установлено с целью принятия соответствующих мер реагирования на сигнальную информацию технических средств охраны.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п.2 Описания объекта закупки указано, что здание, подлежащее охране оборудовано кнопкой тревожной сигнализации.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Описание объекта закупки соответствует КТРУ 80.10.12.000-0000003.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Законодательство не обязывает Заказчика указывать в Описании объекта закупки марку и технические характеристики технических средств охраны, имеющихся у Заказчика и предоставляемых исполнителю для исполнения обязательств по контракту. Указанная информация может быть запрошена Исполнителем после заключения контракта.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в Описании объекта закупки отсутствует запрет на использование Исполнителем иных технических средств (в том числе, имеющихся в распоряжении Исполнителя) предназначенных для передачи сигнальной информации.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признан необоснованным.</w:t>
      </w:r>
    </w:p>
    <w:p>
      <w:pPr>
        <w:pStyle w:val="Style11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Алгоритм действий Исполнителя по реагированию на сигнальную информацию технических средств охраны в Описании объекта закупки отсутствует. В то же время, п.4 Описания объекта закупки содержит указание на ГОСТ Р 59044-2020 «Охранная деятельность. Оказание охранных услуг, связанных с принятием соответствующих мер реагирования на сигнальную информацию технических средств охраны. Общие требования», что не противоречит положениям ст.ЗЗ Закона о контрактной системе.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Проект контракта содержит положения, предусмотренные Приказом Росгвардии от 01.06.2020 № 149 "Об утверждении типового контракта на оказание охранных услуг и информационной карты типового контракта на оказание охранных услуг".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признан необоснованным.</w:t>
      </w:r>
    </w:p>
    <w:p>
      <w:pPr>
        <w:pStyle w:val="Style11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соответствии с ч.5 ст.42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Запрос № 1 на разъяснение положений извещения о закупке содержит вопрос, принадлежит ли Заказчику техническое средство охраны - «Кнопка тревожной сигнализации», будет ли оно использоваться исключительно в рамках исполнения контракта по данной закупке, а так же подразумевает ли Заказчик закупку вооруженной охраны в рамках данной закупки.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регламентированные сроки в ответ на запрос Заявителя Уполномоченным учреждением направлены соответствующие разъяснения, в которых указано, что контроль осуществляется при помощи 8 камер видеонаблюдения внутри здания и 8 камер снаружи, имеется кнопка</w:t>
        <w:br w:type="page"/>
        <w:t>тревожной сигнализации. Охранники мобильной группы должны быть вооружены служебным оружием.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Постановлением Правительства РФ от 02.08.2019 № 1006 «Об утверждении требований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безопасности этих объектов (территорий)» информация о тревожной кнопке, пожарной сигнализации, средствам видеонаблюдения и т.д. является служебной информацией ограниченного распространения и не может быть предоставлена третьим лицам, не имеющим отношения к образовательному учреждению.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Запрос № 2 на разъяснение положений извещения касается обоснования НМЦК в части неприменения показателей Сзж и Стсо и коэффициента Цд2.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 на запрос размещен в ЕИС в регламентированные сроки и содержит указание на причины неприменения указанных показателей.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 ФАС отмечает, что содержание ответа на запрос коррелирует с запросом о даче разъяснений, кроме того, положения Закона о контрактной системе не регламентируют степень полноты разъяснений положений извещения о закупке. Степень удовлетворенности участника закупки полученными разъяснениями - это субъективный фактор, который выходит за рамки правовых оценок.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8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признан необоснованным.</w:t>
      </w:r>
    </w:p>
    <w:p>
      <w:pPr>
        <w:pStyle w:val="Style11"/>
        <w:numPr>
          <w:ilvl w:val="0"/>
          <w:numId w:val="7"/>
        </w:numPr>
        <w:tabs>
          <w:tab w:leader="none" w:pos="78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Вопрос обоснования НМЦК не входит в полномочия антимонопольного органа, следовательно, данный довод Заявителя не может быть рассмотрен при рассмотрении жалобы.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1 ч. 15 ст. 99 Закона о контрактной системе Комиссия УФАС провела внеплановую проверку, по результатам которой при проведении аукциона нарушений не выявлено.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283" w:line="274" w:lineRule="exact"/>
        <w:ind w:left="20" w:right="4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Комиссия УФАС, руководствуясь ст. 99, ст. 106 Закона о контрактной системе, Административным регламентом,</w:t>
      </w:r>
    </w:p>
    <w:p>
      <w:pPr>
        <w:pStyle w:val="Style19"/>
        <w:widowControl w:val="0"/>
        <w:keepNext/>
        <w:keepLines/>
        <w:shd w:val="clear" w:color="auto" w:fill="auto"/>
        <w:bidi w:val="0"/>
        <w:jc w:val="left"/>
        <w:spacing w:before="0" w:after="246" w:line="220" w:lineRule="exact"/>
        <w:ind w:left="4560" w:right="0" w:firstLine="0"/>
      </w:pPr>
      <w:bookmarkStart w:id="9" w:name="bookmark9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9"/>
    </w:p>
    <w:p>
      <w:pPr>
        <w:pStyle w:val="Style11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8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ЧОО «Эгида» необоснованной.</w:t>
      </w:r>
    </w:p>
    <w:p>
      <w:pPr>
        <w:pStyle w:val="Style11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63" w:lineRule="exact"/>
        <w:ind w:left="84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для проведения проверки в части довода формирования НМЦК в орган внутреннего государственного финансового контроля.</w:t>
      </w:r>
    </w:p>
    <w:p>
      <w:pPr>
        <w:pStyle w:val="Style11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840" w:right="40"/>
        <w:sectPr>
          <w:headerReference w:type="even" r:id="rId9"/>
          <w:headerReference w:type="default" r:id="rId10"/>
          <w:footnotePr>
            <w:pos w:val="pageBottom"/>
            <w:numFmt w:val="decimal"/>
            <w:numRestart w:val="continuous"/>
          </w:footnotePr>
          <w:pgSz w:w="11909" w:h="16838"/>
          <w:pgMar w:top="1028" w:left="1555" w:right="500" w:bottom="96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Требование о приостановлении определения поставщика (подрядчика, исполнителя) в части подписания контракта, установленное Управлением на основании ч. 7 ст. 106 Закона о контрактной системе, отменить.</w:t>
      </w:r>
    </w:p>
    <w:p>
      <w:pPr>
        <w:framePr w:w="5155" w:h="2570" w:wrap="none" w:vAnchor="text" w:hAnchor="margin" w:x="4897" w:y="512"/>
        <w:widowControl w:val="0"/>
        <w:rPr>
          <w:sz w:val="2"/>
          <w:szCs w:val="2"/>
        </w:rPr>
      </w:pPr>
      <w:r>
        <w:pict>
          <v:shape id="_x0000_s1031" type="#_x0000_t75" style="width:258pt;height:129pt;">
            <v:imagedata r:id="rId11" r:href="rId12"/>
          </v:shape>
        </w:pict>
      </w:r>
    </w:p>
    <w:p>
      <w:pPr>
        <w:pStyle w:val="Style21"/>
        <w:framePr w:w="9767" w:h="486" w:wrap="none" w:vAnchor="text" w:hAnchor="margin" w:x="112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1"/>
        <w:framePr w:w="2646" w:h="215" w:wrap="none" w:vAnchor="text" w:hAnchor="margin" w:x="1457" w:y="81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3"/>
          <w:spacing w:val="0"/>
        </w:rPr>
        <w:t>Председатель комиссии</w:t>
      </w:r>
    </w:p>
    <w:p>
      <w:pPr>
        <w:pStyle w:val="Style11"/>
        <w:framePr w:w="1958" w:h="211" w:wrap="none" w:vAnchor="text" w:hAnchor="margin" w:x="1465" w:y="135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3"/>
          <w:spacing w:val="0"/>
        </w:rPr>
        <w:t>Члены комиссии: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54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9" w:h="16838"/>
      <w:pgMar w:top="13" w:left="500" w:right="500" w:bottom="1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63.2pt;margin-top:40.25pt;width:3.8pt;height:7.2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8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563.pt;margin-top:40.05pt;width:3.6pt;height:6.85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8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563.2pt;margin-top:40.25pt;width:3.8pt;height:7.2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8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563.2pt;margin-top:40.25pt;width:3.8pt;height:7.2pt;z-index:-188744061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8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2"/>
      <w:numFmt w:val="decimal"/>
      <w:lvlText w:val="01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2"/>
      <w:numFmt w:val="decimal"/>
      <w:lvlText w:val="17.05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Заголовок №1 + 10,5 pt,Не полужирный"/>
    <w:basedOn w:val="CharStyle6"/>
    <w:rPr>
      <w:lang w:val="ru-RU" w:eastAsia="ru-RU" w:bidi="ru-RU"/>
      <w:b/>
      <w:bCs/>
      <w:sz w:val="21"/>
      <w:szCs w:val="21"/>
      <w:w w:val="100"/>
      <w:spacing w:val="0"/>
      <w:color w:val="000000"/>
      <w:position w:val="0"/>
    </w:rPr>
  </w:style>
  <w:style w:type="character" w:customStyle="1" w:styleId="CharStyle9">
    <w:name w:val="Основной текст (3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3)"/>
    <w:basedOn w:val="CharStyle9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3">
    <w:name w:val="Основной текст (3) + 11 pt"/>
    <w:basedOn w:val="CharStyle9"/>
    <w:rPr>
      <w:lang w:val="en-US" w:eastAsia="en-US" w:bidi="en-US"/>
      <w:sz w:val="22"/>
      <w:szCs w:val="22"/>
      <w:w w:val="100"/>
      <w:spacing w:val="0"/>
      <w:color w:val="000000"/>
      <w:position w:val="0"/>
    </w:rPr>
  </w:style>
  <w:style w:type="character" w:customStyle="1" w:styleId="CharStyle15">
    <w:name w:val="Основной текст (4)_"/>
    <w:basedOn w:val="DefaultParagraphFont"/>
    <w:link w:val="Style14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7">
    <w:name w:val="Колонтитул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8">
    <w:name w:val="Колонтитул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Заголовок №1 (2)_"/>
    <w:basedOn w:val="DefaultParagraphFont"/>
    <w:link w:val="Style19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2">
    <w:name w:val="Подпись к картинке Exact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after="240" w:line="252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240" w:after="240" w:line="306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spacing w:before="240"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before="60" w:after="240" w:line="306" w:lineRule="exact"/>
      <w:ind w:hanging="38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center"/>
      <w:spacing w:before="360" w:after="24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6">
    <w:name w:val="Колонтитул"/>
    <w:basedOn w:val="Normal"/>
    <w:link w:val="CharStyle17"/>
    <w:pPr>
      <w:widowControl w:val="0"/>
      <w:shd w:val="clear" w:color="auto" w:fill="FFFFFF"/>
      <w:jc w:val="right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9">
    <w:name w:val="Заголовок №1 (2)"/>
    <w:basedOn w:val="Normal"/>
    <w:link w:val="CharStyle20"/>
    <w:pPr>
      <w:widowControl w:val="0"/>
      <w:shd w:val="clear" w:color="auto" w:fill="FFFFFF"/>
      <w:outlineLvl w:val="0"/>
      <w:spacing w:before="120" w:after="30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FFFFFF"/>
      <w:spacing w:line="263" w:lineRule="exact"/>
      <w:ind w:firstLine="420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