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349"/>
        <w:ind w:left="5400" w:right="12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ГБУ социальный дом «Фили- Давыдково»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352" w:line="260" w:lineRule="exact"/>
        <w:ind w:left="54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ул. Полосухина, д. 3, г. Москва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303" w:line="260" w:lineRule="exact"/>
        <w:ind w:left="54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«АТС Менеджмент»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1748"/>
        <w:ind w:left="5400" w:right="5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ул. Октябрьская, д. 93, кв. 38, г. Тула, 300062</w:t>
      </w:r>
    </w:p>
    <w:p>
      <w:pPr>
        <w:pStyle w:val="Style10"/>
        <w:tabs>
          <w:tab w:leader="none" w:pos="9196" w:val="right"/>
          <w:tab w:leader="none" w:pos="10252" w:val="righ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100" w:right="20" w:firstLine="434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по делу № 077/06/106-11748/2022 о нарушении законодательства о контрактной системе 09.08.2022</w:t>
        <w:tab/>
        <w:t>г.</w:t>
        <w:tab/>
        <w:t>Москва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12" w:lineRule="exact"/>
        <w:ind w:left="10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12" w:lineRule="exact"/>
        <w:ind w:left="10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Председательствующего - главного государственного инспектора отдела обжалования государственных закупок Е.А. Мироновой,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12" w:lineRule="exact"/>
        <w:ind w:left="10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Членов Комиссии: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12" w:lineRule="exact"/>
        <w:ind w:left="10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Ведущего специалиста-эксперта отдела обжалования государственных закупок А.З. Касимовой,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12" w:lineRule="exact"/>
        <w:ind w:left="10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Специалиста-эксперта отдела обжалования государственных закупок</w:t>
      </w:r>
    </w:p>
    <w:p>
      <w:pPr>
        <w:pStyle w:val="Style5"/>
        <w:tabs>
          <w:tab w:leader="none" w:pos="703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12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Э.З.</w:t>
        <w:tab/>
        <w:t>Гугава,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12" w:lineRule="exact"/>
        <w:ind w:left="10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рассмотрение жалобы проводилось дистанционно (посредством видеоконференцсвязи) в целях исполнения Указа Мэра Москвы от 25.09.2020 № 92-УМ «О внесении изменений в правовые акты города Москвы» и предупреждения распространения в городе Москве инфекции, вызванной коронавирусом </w:t>
      </w:r>
      <w:r>
        <w:rPr>
          <w:lang w:val="en-US" w:eastAsia="en-US" w:bidi="en-US"/>
          <w:w w:val="100"/>
          <w:spacing w:val="0"/>
          <w:color w:val="000000"/>
          <w:position w:val="0"/>
        </w:rPr>
        <w:t>2019-nCoV.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12" w:lineRule="exact"/>
        <w:ind w:left="10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 участии представителей: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12" w:lineRule="exact"/>
        <w:ind w:left="10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ГБУ социальный дом «Фили-Давыдково»: О.В. Бушуновой (доверенность от 08.08.2022 №3),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12" w:lineRule="exact"/>
        <w:ind w:left="10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отсутствие представителей ООО «АТС Менеджмент», о времени и порядке заседания Комиссии уведомленных письмом Московского УФАС России исх. № ЕИ/41068/22 от 08.08.2022,</w:t>
      </w:r>
    </w:p>
    <w:p>
      <w:pPr>
        <w:pStyle w:val="Style3"/>
        <w:framePr w:w="1685" w:h="394" w:wrap="around" w:vAnchor="text" w:hAnchor="margin" w:x="452" w:y="1667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  <w:r>
        <w:rPr>
          <w:w w:val="100"/>
          <w:spacing w:val="0"/>
          <w:color w:val="000000"/>
          <w:position w:val="0"/>
        </w:rPr>
        <w:t>001256513930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58" w:line="312" w:lineRule="exact"/>
        <w:ind w:left="10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рассмотрев жалобу ООО «АТС Менеджмент» (далее — Заявитель) на действия ГБУ социальный дом «Фили-Давыдково» (далее — Заказчик) при проведении электронного аукциона на право заключения государственного контракта на поставку стульев (Закупка № 0373200038222000018) (далее - электронный аукцион, аукцион) в соответствии с Федеральным законом от</w:t>
      </w:r>
    </w:p>
    <w:p>
      <w:pPr>
        <w:framePr w:h="461" w:wrap="notBeside" w:vAnchor="text" w:hAnchor="text" w:y="1"/>
        <w:widowControl w:val="0"/>
        <w:jc w:val="left"/>
        <w:rPr>
          <w:sz w:val="2"/>
          <w:szCs w:val="2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width:129pt;height:23pt;">
            <v:imagedata r:id="rId5" r:href="rId6"/>
          </v:shape>
        </w:pict>
      </w:r>
    </w:p>
    <w:p>
      <w:pPr>
        <w:widowControl w:val="0"/>
        <w:rPr>
          <w:sz w:val="2"/>
          <w:szCs w:val="2"/>
        </w:rPr>
      </w:pPr>
      <w:r>
        <w:br w:type="page"/>
      </w:r>
    </w:p>
    <w:p>
      <w:pPr>
        <w:widowControl w:val="0"/>
      </w:pPr>
      <w:r>
        <w:br w:type="page"/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634" w:line="302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 Административным регламентом, утвержденным приказом ФАС России от 19.11.2014 №727/14,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center"/>
        <w:spacing w:before="0" w:after="0" w:line="26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УСТАНОВИЛА: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0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Московское УФАС России поступила жалоба Заявителя на действия Заказчика при проведении электронного аукциона.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07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результате рассмотрения жалобы, рассмотрев представленные документы и сведения, Комиссия Управления установила следующее.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07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Заявитель обжалует действия комиссии по осуществлению закупок Заказчика, выразившиеся в отказе в допуске Заявителю к участию в вышеуказанном аукционе.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07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протоколу подведения итогов определения поставщика (подрядчика, исполнителя) от 01.08.2022 №ИЭА1 заявка Заявителя (номер заявки 7) признана не соответствующей требованиям извещения об осуществлении закупки на следующем основании: «Участник не предоставил сведения в соответствии с приложением 3 к техническому заданию в части «цветовое решение»».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07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п.1 ч.2 ст.42 Закона о контрактной системе, извещение об осуществлении закупки должно содержать описание объекта закупки в соответствии со ст.33 Закона о контрактной системе.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07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п.1 ч.1 ст.33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07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ч.2 ст.33 Закона о контрактной системе документация о закупке в соответствии с требованиями, указанными в ч. 1 ст. 33 Закона о контрактной системе,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показателей,а также значения показателей, которые не могут изменяться.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07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Комиссией Управления установлено, что Заказчиком в пп.4 п.14 Информационной карты установлены требования к содержанию, составу заявки на участие в электронном аукционе, а именно: «Характеристики предлагаемого участником закупки товара, соответствующие показателям, установленным в описании объекта закупки в соответствии с частью 2 статьи 33 Закона о контрактной системе Товарный знак (при наличии)».</w:t>
      </w:r>
    </w:p>
    <w:p>
      <w:pPr>
        <w:pStyle w:val="Style5"/>
        <w:tabs>
          <w:tab w:leader="none" w:pos="7057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07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Кроме того, Комиссией Управления установлено, что Заказчиком в п.1 Приложения №3 к Технического задания установлены дополнительные требования к необходимым к поставке товарам, так, например:</w:t>
        <w:tab/>
        <w:t>«Стул на металлическом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07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каркасе»: «Цвет ткани черный или серый».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07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п. 2 ч. 1 ст. 43 Закона о контрактной системе для участия в конкурентном способе заявка на участие в закупке должна содержать предложение участника закупки в отношении объекта закупки:</w:t>
      </w:r>
    </w:p>
    <w:p>
      <w:pPr>
        <w:pStyle w:val="Style5"/>
        <w:tabs>
          <w:tab w:leader="none" w:pos="362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07" w:lineRule="exact"/>
        <w:ind w:left="20" w:right="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а)</w:t>
        <w:tab/>
        <w:t>с учетом положений ч. 2 ст.43 Закона о контрактной системе характеристики предлагаемого участником закупки товара, соответствующие показателям, установленным в описании объекта закупки в соответствии с ч. 2 ст. 33 Закона о контрактной системе, товарный знак (при наличии у товара товарного знака).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07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б) наименование страны происхождения товара в соответствии с общероссийским классификатором, используемым для идентификации стран мира, с учетом положений ч. 2 ст. 43 Закона о контрактной системе;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07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в) документы, подтверждающие соответствие товара, работы или услуги требованиям, установленным в соответствии с законодательством Российской Федерации (в случае, если в соответствии с законодательством Российской Федерации установлены требования к товару, работе или услуге и представление указанных документов предусмотрено извещением об осуществлении закупки, документацией о закупке, если настоящим Федеральным законом предусмотрена документация о закупке). Заказчик не вправе требовать представление указанных документов, если в соответствии с законодательством Российской Федерации они передаются вместе с товаром;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07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г) с учетом положений ч. 2 ст. 43 Закона о контрактной системе предложение по критериям, предусмотренным п. 2 и (или) 3 ч. 1 ст. 32 Закона о контрактной системе(в случае проведения конкурсов и установления таких критериев). При этом отсутствие такого предложения не является основанием для отклонения заявки на участие в закупке;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07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д) иные информация и документы, в том числе эскиз, рисунок, чертеж, фотография, иное изображение предлагаемого участником закупки товара. При этом отсутствие таких информации и документов не является основанием для отклонения заявки на участие в закупке.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07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Комиссией Управления установлено, что в составе заявки участник закупки представил сведения о предлагаемых к поставке товарах, вместе с тем отсутствуют характеристики товара, предусмотренные Приложением №3 к Техническому заданию, что прямо противоречит пп.4 п.14 Информационной карты извещения об осуществления закупки.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07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силу пп. «а» п.1 ч.5 ст. 49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 члены комиссии по осуществлению закупок рассматривают заявки на участие в закупке, информацию и документы, направленные оператором электронной площадки в соответствии с п. 4 ч. 4 ст. 49 Закона о контрактной системе,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пп. 1-8 ч. 12 ст. 48 Закона о контрактной системе.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07" w:lineRule="exact"/>
        <w:ind w:left="20" w:right="2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ч.12 ст.48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>
      <w:pPr>
        <w:pStyle w:val="Style5"/>
        <w:numPr>
          <w:ilvl w:val="0"/>
          <w:numId w:val="1"/>
        </w:numPr>
        <w:tabs>
          <w:tab w:leader="none" w:pos="1114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07" w:lineRule="exact"/>
        <w:ind w:left="20" w:right="2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непредставления (за исключением случаев, предусмотренных настоящим Федеральным законом)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 п. 2 и 3 ч. 6 ст.43 Закона о контрактной системе),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07" w:lineRule="exact"/>
        <w:ind w:left="10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непредставления информации и документов, предусмотренных п. 2 и 3 ч. 6 ст.43 Закона о контрактной системе,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07" w:lineRule="exact"/>
        <w:ind w:left="10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несоответствия участника закупки требованиям, установленным в извещении об осуществлении закупки в соответствии с ч. 1 ст. 31 Закона контрактной системе, требованиям, установленным в извещении об осуществлении закупки в соответствии с ч. 1.1, 2 и 2.1 (при наличии таких требований) ст. 31 Закона о контрактной системе;</w:t>
      </w:r>
    </w:p>
    <w:p>
      <w:pPr>
        <w:pStyle w:val="Style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07" w:lineRule="exact"/>
        <w:ind w:left="10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предусмотренных нормативными правовыми актами, принятыми в соответствии со ст. 14 Закона о контрактной системе (за исключением случаев непредставления информации и документов, предусмотренных п. 5 ч. 1 ст. 43 Закона о контрактной системе);</w:t>
      </w:r>
    </w:p>
    <w:p>
      <w:pPr>
        <w:pStyle w:val="Style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07" w:lineRule="exact"/>
        <w:ind w:left="10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непредставления информации и документов, предусмотренных п. 5 ч. 1 ст. 43 Закона о контрактной системе, если такие документы предусмотрены нормативными правовыми актами, принятыми в соответствии с ч. 3 ст. 14 Закона о контрактной системе (в случае установления в соответствии со ст. 14 Закона о контрактной системе в извещении об осуществлении закупки запрета допуска товаров, происходящих из иностранного государства или группы иностранных государств).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07" w:lineRule="exact"/>
        <w:ind w:left="10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Комиссия Управления приходит к выводу, что у комиссии по осуществлению закупок Заказчика имелись основания для отклонения заявки Заявителя, и решение комиссии по осуществлению закупок Заказчика об отклонении заявки на участие в закупке по основанию, изложенному в протоколе подведения итогов, является правомерным.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334" w:line="302" w:lineRule="exact"/>
        <w:ind w:left="10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Исследовав представленные материалы, руководствуясь Административным регламентом, Законом о контрактной системе, Комиссия Управления</w:t>
      </w:r>
    </w:p>
    <w:p>
      <w:pPr>
        <w:pStyle w:val="Style12"/>
        <w:widowControl w:val="0"/>
        <w:keepNext/>
        <w:keepLines/>
        <w:shd w:val="clear" w:color="auto" w:fill="auto"/>
        <w:bidi w:val="0"/>
        <w:spacing w:before="0" w:after="14" w:line="260" w:lineRule="exact"/>
        <w:ind w:left="0" w:right="80" w:firstLine="0"/>
      </w:pPr>
      <w:bookmarkStart w:id="0" w:name="bookmark0"/>
      <w:r>
        <w:rPr>
          <w:lang w:val="ru-RU" w:eastAsia="ru-RU" w:bidi="ru-RU"/>
          <w:w w:val="100"/>
          <w:spacing w:val="0"/>
          <w:color w:val="000000"/>
          <w:position w:val="0"/>
        </w:rPr>
        <w:t>Р Е Ш И Л А:</w:t>
      </w:r>
      <w:bookmarkEnd w:id="0"/>
    </w:p>
    <w:p>
      <w:pPr>
        <w:pStyle w:val="Style5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07" w:lineRule="exact"/>
        <w:ind w:left="10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Признать жалобу ООО «АТС Менеджмент» на действия комиссии по осуществлению закупок ГБУ социальный дом «Фили-Давыдково» необоснованной.</w:t>
      </w:r>
    </w:p>
    <w:p>
      <w:pPr>
        <w:pStyle w:val="Style5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300" w:line="307" w:lineRule="exact"/>
        <w:ind w:left="10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Снять ограничения на определение поставщика (подрядчика, исполнителя), наложенные письмом Московского УФАС России от 08.08.2022 № ЕИ/41068/22.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172" w:line="307" w:lineRule="exact"/>
        <w:ind w:left="10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может быть обжаловано в судебном порядке в Арбитражном суде г. Москвы в течение 3 (трех) месяцев с даты его принятия в порядке, установленном гл. 24 АПК РФ.</w:t>
      </w:r>
    </w:p>
    <w:p>
      <w:pPr>
        <w:pStyle w:val="Style5"/>
        <w:tabs>
          <w:tab w:leader="none" w:pos="10294" w:val="right"/>
          <w:tab w:leader="none" w:pos="10291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Председательствующий</w:t>
        <w:tab/>
        <w:t>Е.А.</w:t>
        <w:tab/>
        <w:t>Миронова</w:t>
      </w:r>
    </w:p>
    <w:p>
      <w:pPr>
        <w:pStyle w:val="Style5"/>
        <w:tabs>
          <w:tab w:leader="none" w:pos="9019" w:val="right"/>
          <w:tab w:leader="none" w:pos="10294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Члены Комиссии:</w:t>
        <w:tab/>
        <w:t>А.З.</w:t>
        <w:tab/>
        <w:t>Касимова</w:t>
      </w:r>
    </w:p>
    <w:p>
      <w:pPr>
        <w:pStyle w:val="Style5"/>
        <w:tabs>
          <w:tab w:leader="none" w:pos="9537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189" w:line="317" w:lineRule="exact"/>
        <w:ind w:left="89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Э.З.</w:t>
        <w:tab/>
        <w:t>Гугава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100" w:right="75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Исп. Гугава Эдуард Звиадович 8 (495)784-75-05</w:t>
      </w:r>
    </w:p>
    <w:sectPr>
      <w:headerReference w:type="default" r:id="rId7"/>
      <w:footerReference w:type="default" r:id="rId8"/>
      <w:footerReference w:type="first" r:id="rId9"/>
      <w:titlePg/>
      <w:footnotePr>
        <w:pos w:val="pageBottom"/>
        <w:numFmt w:val="decimal"/>
        <w:numRestart w:val="continuous"/>
      </w:footnotePr>
      <w:type w:val="continuous"/>
      <w:pgSz w:w="11909" w:h="16838"/>
      <w:pgMar w:top="1103" w:left="809" w:right="785" w:bottom="1016" w:header="0" w:footer="3" w:gutter="0"/>
      <w:rtlGutter w:val="0"/>
      <w:cols w:space="720"/>
      <w:noEndnote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p>
    <w:pPr>
      <w:widowControl w:val="0"/>
      <w:rPr>
        <w:sz w:val="2"/>
        <w:szCs w:val="2"/>
      </w:rPr>
    </w:pPr>
    <w:r>
      <w:pict>
        <v:shape id="_x0000_s1028" type="#_x0000_t202" style="position:absolute;margin-left:44.05pt;margin-top:795.45pt;width:56.9pt;height:7.9pt;z-index:-188744063;mso-wrap-style:none;mso-wrap-distance-left:5.pt;mso-wrap-distance-right:5.pt;mso-position-horizontal-relative:page;mso-position-vertical-relative:page" wrapcoords="0 0" filled="f" stroked="f">
          <v:textbox style="mso-fit-shape-to-text:t" inset="0,0,0,0">
            <w:txbxContent>
              <w:p>
                <w:pPr>
                  <w:pStyle w:val="Style7"/>
                  <w:widowControl w:val="0"/>
                  <w:keepNext w:val="0"/>
                  <w:keepLines w:val="0"/>
                  <w:shd w:val="clear" w:color="auto" w:fill="auto"/>
                  <w:bidi w:val="0"/>
                  <w:jc w:val="left"/>
                  <w:spacing w:before="0" w:after="0" w:line="240" w:lineRule="auto"/>
                  <w:ind w:left="0" w:right="0" w:firstLine="0"/>
                </w:pPr>
                <w:r>
                  <w:rPr>
                    <w:rStyle w:val="CharStyle9"/>
                  </w:rPr>
                  <w:t>2022-44925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p>
    <w:pPr>
      <w:widowControl w:val="0"/>
      <w:rPr>
        <w:sz w:val="2"/>
        <w:szCs w:val="2"/>
      </w:rPr>
    </w:pPr>
    <w:r>
      <w:pict>
        <v:shape id="_x0000_s1029" type="#_x0000_t202" style="position:absolute;margin-left:45.95pt;margin-top:797.5pt;width:56.65pt;height:7.9pt;z-index:-188744062;mso-wrap-style:none;mso-wrap-distance-left:5.pt;mso-wrap-distance-right:5.pt;mso-position-horizontal-relative:page;mso-position-vertical-relative:page" wrapcoords="0 0" filled="f" stroked="f">
          <v:textbox style="mso-fit-shape-to-text:t" inset="0,0,0,0">
            <w:txbxContent>
              <w:p>
                <w:pPr>
                  <w:pStyle w:val="Style7"/>
                  <w:widowControl w:val="0"/>
                  <w:keepNext w:val="0"/>
                  <w:keepLines w:val="0"/>
                  <w:shd w:val="clear" w:color="auto" w:fill="auto"/>
                  <w:bidi w:val="0"/>
                  <w:jc w:val="left"/>
                  <w:spacing w:before="0" w:after="0" w:line="240" w:lineRule="auto"/>
                  <w:ind w:left="0" w:right="0" w:firstLine="0"/>
                </w:pPr>
                <w:r>
                  <w:rPr>
                    <w:rStyle w:val="CharStyle9"/>
                  </w:rPr>
                  <w:t>2022-44925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p>
    <w:pPr>
      <w:widowControl w:val="0"/>
      <w:rPr>
        <w:sz w:val="2"/>
        <w:szCs w:val="2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296.05pt;margin-top:35.pt;width:5.3pt;height:7.9pt;z-index:-188744064;mso-wrap-style:none;mso-wrap-distance-left:5.pt;mso-wrap-distance-right:5.pt;mso-position-horizontal-relative:page;mso-position-vertical-relative:page" wrapcoords="0 0" filled="f" stroked="f">
          <v:textbox style="mso-fit-shape-to-text:t" inset="0,0,0,0">
            <w:txbxContent>
              <w:p>
                <w:pPr>
                  <w:pStyle w:val="Style7"/>
                  <w:widowControl w:val="0"/>
                  <w:keepNext w:val="0"/>
                  <w:keepLines w:val="0"/>
                  <w:shd w:val="clear" w:color="auto" w:fill="auto"/>
                  <w:bidi w:val="0"/>
                  <w:jc w:val="left"/>
                  <w:spacing w:before="0" w:after="0" w:line="240" w:lineRule="auto"/>
                  <w:ind w:left="0" w:right="0" w:firstLine="0"/>
                </w:pPr>
                <w:fldSimple w:instr=" PAGE \* MERGEFORMAT ">
                  <w:r>
                    <w:rPr>
                      <w:rStyle w:val="CharStyle9"/>
                    </w:rPr>
                    <w:t>#</w:t>
                  </w:r>
                </w:fldSimple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Штрих-код (2)_"/>
    <w:basedOn w:val="DefaultParagraphFont"/>
    <w:link w:val="Style3"/>
    <w:rPr>
      <w:lang w:val="1024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6">
    <w:name w:val="Основной текст_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8">
    <w:name w:val="Колонтитул_"/>
    <w:basedOn w:val="DefaultParagraphFont"/>
    <w:link w:val="Style7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9">
    <w:name w:val="Колонтитул"/>
    <w:basedOn w:val="CharStyle8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1">
    <w:name w:val="Основной текст (2)_"/>
    <w:basedOn w:val="DefaultParagraphFont"/>
    <w:link w:val="Style10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13">
    <w:name w:val="Заголовок №1_"/>
    <w:basedOn w:val="DefaultParagraphFont"/>
    <w:link w:val="Style12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15">
    <w:name w:val="Основной текст (3)_"/>
    <w:basedOn w:val="DefaultParagraphFont"/>
    <w:link w:val="Style14"/>
    <w:rPr>
      <w:b/>
      <w:bCs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paragraph" w:customStyle="1" w:styleId="Style3">
    <w:name w:val="Штрих-код (2)"/>
    <w:basedOn w:val="Normal"/>
    <w:link w:val="CharStyle4"/>
    <w:pPr>
      <w:widowControl w:val="0"/>
      <w:shd w:val="clear" w:color="auto" w:fill="FFFFFF"/>
    </w:pPr>
    <w:rPr>
      <w:lang w:val="1024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5">
    <w:name w:val="Основной текст"/>
    <w:basedOn w:val="Normal"/>
    <w:link w:val="CharStyle6"/>
    <w:pPr>
      <w:widowControl w:val="0"/>
      <w:shd w:val="clear" w:color="auto" w:fill="FFFFFF"/>
      <w:spacing w:after="300" w:line="322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7">
    <w:name w:val="Колонтитул"/>
    <w:basedOn w:val="Normal"/>
    <w:link w:val="CharStyle8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10">
    <w:name w:val="Основной текст (2)"/>
    <w:basedOn w:val="Normal"/>
    <w:link w:val="CharStyle11"/>
    <w:pPr>
      <w:widowControl w:val="0"/>
      <w:shd w:val="clear" w:color="auto" w:fill="FFFFFF"/>
      <w:spacing w:before="1740" w:line="312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12">
    <w:name w:val="Заголовок №1"/>
    <w:basedOn w:val="Normal"/>
    <w:link w:val="CharStyle13"/>
    <w:pPr>
      <w:widowControl w:val="0"/>
      <w:shd w:val="clear" w:color="auto" w:fill="FFFFFF"/>
      <w:jc w:val="center"/>
      <w:outlineLvl w:val="0"/>
      <w:spacing w:before="300" w:after="120" w:line="0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14">
    <w:name w:val="Основной текст (3)"/>
    <w:basedOn w:val="Normal"/>
    <w:link w:val="CharStyle15"/>
    <w:pPr>
      <w:widowControl w:val="0"/>
      <w:shd w:val="clear" w:color="auto" w:fill="FFFFFF"/>
      <w:spacing w:before="120" w:line="230" w:lineRule="exact"/>
    </w:pPr>
    <w:rPr>
      <w:b/>
      <w:bCs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footer" Target="footer2.xml"/></Relationships>
</file>