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253"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57pt;height:63pt;">
            <v:imagedata r:id="rId5" r:href="rId6"/>
          </v:shape>
        </w:pict>
      </w:r>
    </w:p>
    <w:p>
      <w:pPr>
        <w:widowControl w:val="0"/>
        <w:rPr>
          <w:sz w:val="2"/>
          <w:szCs w:val="2"/>
        </w:rPr>
      </w:pPr>
    </w:p>
    <w:p>
      <w:pPr>
        <w:pStyle w:val="Style5"/>
        <w:widowControl w:val="0"/>
        <w:keepNext/>
        <w:keepLines/>
        <w:shd w:val="clear" w:color="auto" w:fill="auto"/>
        <w:bidi w:val="0"/>
        <w:spacing w:before="0" w:after="247"/>
        <w:ind w:left="0" w:right="180" w:firstLine="0"/>
      </w:pPr>
      <w:bookmarkStart w:id="0" w:name="bookmark0"/>
      <w:r>
        <w:rPr>
          <w:lang w:val="ru-RU" w:eastAsia="ru-RU" w:bidi="ru-RU"/>
          <w:w w:val="100"/>
          <w:spacing w:val="0"/>
          <w:color w:val="000000"/>
          <w:position w:val="0"/>
        </w:rPr>
        <w:t xml:space="preserve">УПРАВЛЕНИЕ Федеральной антимонопольной службы по Свердловской области </w:t>
      </w:r>
      <w:r>
        <w:rPr>
          <w:rStyle w:val="CharStyle7"/>
          <w:b w:val="0"/>
          <w:bCs w:val="0"/>
        </w:rPr>
        <w:t xml:space="preserve">РЕШЕНИЕ по жалобе № </w:t>
      </w:r>
      <w:r>
        <w:rPr>
          <w:rStyle w:val="CharStyle8"/>
          <w:b w:val="0"/>
          <w:bCs w:val="0"/>
        </w:rPr>
        <w:t>066/06/106-2223/2022</w:t>
      </w:r>
      <w:bookmarkEnd w:id="0"/>
    </w:p>
    <w:p>
      <w:pPr>
        <w:pStyle w:val="Style3"/>
        <w:tabs>
          <w:tab w:leader="none" w:pos="9644" w:val="right"/>
        </w:tabs>
        <w:widowControl w:val="0"/>
        <w:keepNext w:val="0"/>
        <w:keepLines w:val="0"/>
        <w:shd w:val="clear" w:color="auto" w:fill="auto"/>
        <w:bidi w:val="0"/>
        <w:spacing w:before="0" w:after="189" w:line="190" w:lineRule="exact"/>
        <w:ind w:left="20" w:right="0" w:firstLine="0"/>
      </w:pPr>
      <w:r>
        <w:rPr>
          <w:lang w:val="ru-RU" w:eastAsia="ru-RU" w:bidi="ru-RU"/>
          <w:w w:val="100"/>
          <w:spacing w:val="0"/>
          <w:color w:val="000000"/>
          <w:position w:val="0"/>
        </w:rPr>
        <w:t>г. Екатеринбург</w:t>
        <w:tab/>
        <w:t>01.07.2022г.</w:t>
      </w:r>
    </w:p>
    <w:p>
      <w:pPr>
        <w:pStyle w:val="Style3"/>
        <w:widowControl w:val="0"/>
        <w:keepNext w:val="0"/>
        <w:keepLines w:val="0"/>
        <w:shd w:val="clear" w:color="auto" w:fill="auto"/>
        <w:bidi w:val="0"/>
        <w:spacing w:before="0" w:after="9" w:line="190" w:lineRule="exact"/>
        <w:ind w:left="20" w:right="0" w:firstLine="720"/>
      </w:pPr>
      <w:r>
        <w:rPr>
          <w:lang w:val="ru-RU" w:eastAsia="ru-RU" w:bidi="ru-RU"/>
          <w:w w:val="100"/>
          <w:spacing w:val="0"/>
          <w:color w:val="000000"/>
          <w:position w:val="0"/>
        </w:rPr>
        <w:t>Комиссия Управления Федеральной антимонопольной службы по Свердловской области по контролю в</w:t>
      </w:r>
    </w:p>
    <w:p>
      <w:pPr>
        <w:pStyle w:val="Style3"/>
        <w:widowControl w:val="0"/>
        <w:keepNext w:val="0"/>
        <w:keepLines w:val="0"/>
        <w:shd w:val="clear" w:color="auto" w:fill="auto"/>
        <w:bidi w:val="0"/>
        <w:spacing w:before="0" w:after="0" w:line="190" w:lineRule="exact"/>
        <w:ind w:left="20" w:right="0" w:firstLine="0"/>
      </w:pPr>
      <w:r>
        <w:rPr>
          <w:lang w:val="ru-RU" w:eastAsia="ru-RU" w:bidi="ru-RU"/>
          <w:w w:val="100"/>
          <w:spacing w:val="0"/>
          <w:color w:val="000000"/>
          <w:position w:val="0"/>
        </w:rPr>
        <w:t>сфере закупок (далее по тексту - Комиссия) в составе:</w:t>
      </w:r>
    </w:p>
    <w:p>
      <w:pPr>
        <w:pStyle w:val="Style3"/>
        <w:widowControl w:val="0"/>
        <w:keepNext w:val="0"/>
        <w:keepLines w:val="0"/>
        <w:shd w:val="clear" w:color="auto" w:fill="auto"/>
        <w:bidi w:val="0"/>
        <w:spacing w:before="0" w:after="0" w:line="190" w:lineRule="exact"/>
        <w:ind w:left="20" w:right="0" w:firstLine="720"/>
      </w:pPr>
      <w:r>
        <w:rPr>
          <w:lang w:val="ru-RU" w:eastAsia="ru-RU" w:bidi="ru-RU"/>
          <w:w w:val="100"/>
          <w:spacing w:val="0"/>
          <w:color w:val="000000"/>
          <w:position w:val="0"/>
        </w:rPr>
        <w:t>*</w:t>
      </w:r>
    </w:p>
    <w:p>
      <w:pPr>
        <w:pStyle w:val="Style3"/>
        <w:widowControl w:val="0"/>
        <w:keepNext w:val="0"/>
        <w:keepLines w:val="0"/>
        <w:shd w:val="clear" w:color="auto" w:fill="auto"/>
        <w:bidi w:val="0"/>
        <w:spacing w:before="0" w:after="0" w:line="230" w:lineRule="exact"/>
        <w:ind w:left="20" w:right="20" w:firstLine="720"/>
      </w:pPr>
      <w:r>
        <w:rPr>
          <w:lang w:val="ru-RU" w:eastAsia="ru-RU" w:bidi="ru-RU"/>
          <w:w w:val="100"/>
          <w:spacing w:val="0"/>
          <w:color w:val="000000"/>
          <w:position w:val="0"/>
        </w:rPr>
        <w:t>посредством использования интернет-видеоконференции, которая обеспечивает возможность участия сторон, в 14-30, в присутствие представителей:</w:t>
      </w:r>
    </w:p>
    <w:p>
      <w:pPr>
        <w:pStyle w:val="Style3"/>
        <w:numPr>
          <w:ilvl w:val="0"/>
          <w:numId w:val="1"/>
        </w:numPr>
        <w:widowControl w:val="0"/>
        <w:keepNext w:val="0"/>
        <w:keepLines w:val="0"/>
        <w:shd w:val="clear" w:color="auto" w:fill="auto"/>
        <w:bidi w:val="0"/>
        <w:spacing w:before="0" w:after="0" w:line="230" w:lineRule="exact"/>
        <w:ind w:left="20" w:right="0" w:firstLine="720"/>
      </w:pPr>
      <w:r>
        <w:rPr>
          <w:lang w:val="ru-RU" w:eastAsia="ru-RU" w:bidi="ru-RU"/>
          <w:w w:val="100"/>
          <w:spacing w:val="0"/>
          <w:color w:val="000000"/>
          <w:position w:val="0"/>
        </w:rPr>
        <w:t xml:space="preserve"> заказчика в лице Администрации Махневского муниципального образования, — *</w:t>
      </w:r>
    </w:p>
    <w:p>
      <w:pPr>
        <w:pStyle w:val="Style3"/>
        <w:numPr>
          <w:ilvl w:val="0"/>
          <w:numId w:val="1"/>
        </w:numPr>
        <w:widowControl w:val="0"/>
        <w:keepNext w:val="0"/>
        <w:keepLines w:val="0"/>
        <w:shd w:val="clear" w:color="auto" w:fill="auto"/>
        <w:bidi w:val="0"/>
        <w:spacing w:before="0" w:after="0" w:line="230" w:lineRule="exact"/>
        <w:ind w:left="20" w:right="20" w:firstLine="720"/>
      </w:pPr>
      <w:r>
        <w:rPr>
          <w:lang w:val="ru-RU" w:eastAsia="ru-RU" w:bidi="ru-RU"/>
          <w:w w:val="100"/>
          <w:spacing w:val="0"/>
          <w:color w:val="000000"/>
          <w:position w:val="0"/>
        </w:rPr>
        <w:t xml:space="preserve"> в отсутствие представителя заявителя в лице ООО «КОМПАНИЯ «КОММУНАЛ-АВТО», уведомленного надлежащим образом о месте и времени заседания Комиссии,</w:t>
      </w:r>
    </w:p>
    <w:p>
      <w:pPr>
        <w:pStyle w:val="Style3"/>
        <w:widowControl w:val="0"/>
        <w:keepNext w:val="0"/>
        <w:keepLines w:val="0"/>
        <w:shd w:val="clear" w:color="auto" w:fill="auto"/>
        <w:bidi w:val="0"/>
        <w:spacing w:before="0" w:after="212" w:line="230" w:lineRule="exact"/>
        <w:ind w:left="20" w:right="20" w:firstLine="720"/>
      </w:pPr>
      <w:r>
        <w:rPr>
          <w:lang w:val="ru-RU" w:eastAsia="ru-RU" w:bidi="ru-RU"/>
          <w:w w:val="100"/>
          <w:spacing w:val="0"/>
          <w:color w:val="000000"/>
          <w:position w:val="0"/>
        </w:rPr>
        <w:t>рассмотрев жалобу ООО «КОМПАНИЯ «КОММУНАЛ-АВТО» (*) о нарушении заказчиком в лице Администрации Махневского муниципального образования (*), его комиссией при осуществлении электронного аукциона на приобретение вакуумной (ассенизационной) машины (извещение №</w:t>
      </w:r>
      <w:r>
        <w:fldChar w:fldCharType="begin"/>
      </w:r>
      <w:r>
        <w:rPr>
          <w:color w:val="000000"/>
        </w:rPr>
        <w:instrText> HYPERLINK "https://zakupki.gov.ru/epz/order/notice/ea20/view/common-info.html?regNumber=0162300040422000023" </w:instrText>
      </w:r>
      <w:r>
        <w:fldChar w:fldCharType="separate"/>
      </w:r>
      <w:r>
        <w:rPr>
          <w:rStyle w:val="Hyperlink"/>
          <w:lang w:val="ru-RU" w:eastAsia="ru-RU" w:bidi="ru-RU"/>
          <w:w w:val="100"/>
          <w:spacing w:val="0"/>
          <w:position w:val="0"/>
        </w:rPr>
        <w:t xml:space="preserve"> 0162300040422000023)</w:t>
      </w:r>
      <w:r>
        <w:fldChar w:fldCharType="end"/>
      </w:r>
      <w:r>
        <w:rPr>
          <w:lang w:val="ru-RU" w:eastAsia="ru-RU" w:bidi="ru-RU"/>
          <w:w w:val="100"/>
          <w:spacing w:val="0"/>
          <w:color w:val="000000"/>
          <w:position w:val="0"/>
        </w:rPr>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pPr>
        <w:pStyle w:val="Style10"/>
        <w:widowControl w:val="0"/>
        <w:keepNext/>
        <w:keepLines/>
        <w:shd w:val="clear" w:color="auto" w:fill="auto"/>
        <w:bidi w:val="0"/>
        <w:spacing w:before="0" w:after="161" w:line="190" w:lineRule="exact"/>
        <w:ind w:left="0" w:right="0" w:firstLine="0"/>
      </w:pPr>
      <w:bookmarkStart w:id="1" w:name="bookmark1"/>
      <w:r>
        <w:rPr>
          <w:lang w:val="ru-RU" w:eastAsia="ru-RU" w:bidi="ru-RU"/>
          <w:w w:val="100"/>
          <w:spacing w:val="0"/>
          <w:color w:val="000000"/>
          <w:position w:val="0"/>
        </w:rPr>
        <w:t>У С Т А Н О В И Л А:</w:t>
      </w:r>
      <w:bookmarkEnd w:id="1"/>
    </w:p>
    <w:p>
      <w:pPr>
        <w:pStyle w:val="Style3"/>
        <w:tabs>
          <w:tab w:leader="none" w:pos="4489" w:val="left"/>
        </w:tabs>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Управление Федеральной антимонопольной службы по Свердловской области поступила жалоба ООО «КОМПАНИЯ «КОММУНАЛ-АВТО» (вх. №</w:t>
        <w:tab/>
        <w:t>1133-ЭП/22 от 28.06.2022г.) о нарушении заказчиком,</w:t>
      </w:r>
    </w:p>
    <w:p>
      <w:pPr>
        <w:pStyle w:val="Style3"/>
        <w:widowControl w:val="0"/>
        <w:keepNext w:val="0"/>
        <w:keepLines w:val="0"/>
        <w:shd w:val="clear" w:color="auto" w:fill="auto"/>
        <w:bidi w:val="0"/>
        <w:spacing w:before="0" w:after="0" w:line="226" w:lineRule="exact"/>
        <w:ind w:left="20" w:right="20" w:firstLine="0"/>
      </w:pPr>
      <w:r>
        <w:rPr>
          <w:lang w:val="ru-RU" w:eastAsia="ru-RU" w:bidi="ru-RU"/>
          <w:w w:val="100"/>
          <w:spacing w:val="0"/>
          <w:color w:val="000000"/>
          <w:position w:val="0"/>
        </w:rPr>
        <w:t>уполномоченным органом в лице Администрации Махневского муниципального образования, его комиссией при осуществлении электронного аукциона на приобретение вакуумной (ассенизационной) машины (извещение №</w:t>
      </w:r>
      <w:r>
        <w:fldChar w:fldCharType="begin"/>
      </w:r>
      <w:r>
        <w:rPr>
          <w:color w:val="000000"/>
        </w:rPr>
        <w:instrText> HYPERLINK "https://zakupki.gov.ru/epz/order/notice/ea20/view/common-info.html?regNumber=0162300040422000023" </w:instrText>
      </w:r>
      <w:r>
        <w:fldChar w:fldCharType="separate"/>
      </w:r>
      <w:r>
        <w:rPr>
          <w:rStyle w:val="Hyperlink"/>
          <w:lang w:val="ru-RU" w:eastAsia="ru-RU" w:bidi="ru-RU"/>
          <w:w w:val="100"/>
          <w:spacing w:val="0"/>
          <w:position w:val="0"/>
        </w:rPr>
        <w:t xml:space="preserve"> 0162300040422000023)</w:t>
      </w:r>
      <w:r>
        <w:fldChar w:fldCharType="end"/>
      </w:r>
      <w:r>
        <w:rPr>
          <w:lang w:val="ru-RU" w:eastAsia="ru-RU" w:bidi="ru-RU"/>
          <w:w w:val="100"/>
          <w:spacing w:val="0"/>
          <w:color w:val="000000"/>
          <w:position w:val="0"/>
        </w:rPr>
        <w:t>, Закона о контрактной системе, соответствующая требованиям ст.105 Закона о контрактной системе.</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своей жалобе заявитель указал, что заявка общества «СпецМаш» (победитель электронного аукциона №</w:t>
      </w:r>
      <w:r>
        <w:fldChar w:fldCharType="begin"/>
      </w:r>
      <w:r>
        <w:rPr>
          <w:color w:val="000000"/>
        </w:rPr>
        <w:instrText> HYPERLINK "https://zakupki.gov.ru/epz/order/notice/ea20/view/common-info.html?regNumber=0162300040422000023" </w:instrText>
      </w:r>
      <w:r>
        <w:fldChar w:fldCharType="separate"/>
      </w:r>
      <w:r>
        <w:rPr>
          <w:rStyle w:val="Hyperlink"/>
          <w:lang w:val="ru-RU" w:eastAsia="ru-RU" w:bidi="ru-RU"/>
          <w:w w:val="100"/>
          <w:spacing w:val="0"/>
          <w:position w:val="0"/>
        </w:rPr>
        <w:t xml:space="preserve"> 0162300040422000023)</w:t>
      </w:r>
      <w:r>
        <w:fldChar w:fldCharType="end"/>
      </w:r>
      <w:r>
        <w:rPr>
          <w:lang w:val="ru-RU" w:eastAsia="ru-RU" w:bidi="ru-RU"/>
          <w:w w:val="100"/>
          <w:spacing w:val="0"/>
          <w:color w:val="000000"/>
          <w:position w:val="0"/>
        </w:rPr>
        <w:t xml:space="preserve"> неправомерно была признана соответствующей требованиям извещения, поскольку в своем техническом предложении данный участник закупки указал номер реестровой записи российской промышленной продукции предлагаемого им к поставке товара, код по ОКПД2 которого отличается от того, что установлен заказчиком для целей проведения указанной закупочной процедуры.</w:t>
      </w:r>
    </w:p>
    <w:p>
      <w:pPr>
        <w:pStyle w:val="Style3"/>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Представитель заказчика с доводами жалобы не согласился; просил признать жалобу необоснованной.</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08.06.2022г. на официальном сайте опубликовано извещение о проведении электронного аукциона № </w:t>
      </w:r>
      <w:r>
        <w:fldChar w:fldCharType="begin"/>
      </w:r>
      <w:r>
        <w:rPr>
          <w:color w:val="000000"/>
        </w:rPr>
        <w:instrText> HYPERLINK "https://zakupki.gov.ru/epz/order/notice/ea20/view/common-info.html?regNumber=0162300040422000023" </w:instrText>
      </w:r>
      <w:r>
        <w:fldChar w:fldCharType="separate"/>
      </w:r>
      <w:r>
        <w:rPr>
          <w:rStyle w:val="Hyperlink"/>
          <w:lang w:val="ru-RU" w:eastAsia="ru-RU" w:bidi="ru-RU"/>
          <w:w w:val="100"/>
          <w:spacing w:val="0"/>
          <w:position w:val="0"/>
        </w:rPr>
        <w:t xml:space="preserve">0162300040422000023 </w:t>
      </w:r>
      <w:r>
        <w:fldChar w:fldCharType="end"/>
      </w:r>
      <w:r>
        <w:rPr>
          <w:lang w:val="ru-RU" w:eastAsia="ru-RU" w:bidi="ru-RU"/>
          <w:w w:val="100"/>
          <w:spacing w:val="0"/>
          <w:color w:val="000000"/>
          <w:position w:val="0"/>
        </w:rPr>
        <w:t>на приобретение вакуумной (ассенизационной) машины.</w:t>
      </w:r>
    </w:p>
    <w:p>
      <w:pPr>
        <w:pStyle w:val="Style3"/>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Начальная (максимальная) цена контракта составила 5 296 000, 00 рублей.</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w:t>
      </w:r>
      <w:r>
        <w:rPr>
          <w:lang w:val="ru-RU" w:eastAsia="ru-RU" w:bidi="ru-RU"/>
          <w:w w:val="100"/>
          <w:spacing w:val="0"/>
          <w:color w:val="000000"/>
          <w:position w:val="0"/>
        </w:rPr>
        <w:t xml:space="preserve"> подпунктами "м" </w:t>
      </w:r>
      <w:r>
        <w:rPr>
          <w:lang w:val="ru-RU" w:eastAsia="ru-RU" w:bidi="ru-RU"/>
          <w:w w:val="100"/>
          <w:spacing w:val="0"/>
          <w:color w:val="000000"/>
          <w:position w:val="0"/>
        </w:rPr>
        <w:t>-</w:t>
      </w:r>
      <w:r>
        <w:rPr>
          <w:lang w:val="ru-RU" w:eastAsia="ru-RU" w:bidi="ru-RU"/>
          <w:w w:val="100"/>
          <w:spacing w:val="0"/>
          <w:color w:val="000000"/>
          <w:position w:val="0"/>
        </w:rPr>
        <w:t xml:space="preserve"> "п" пункта 1,</w:t>
      </w:r>
      <w:r>
        <w:rPr>
          <w:lang w:val="ru-RU" w:eastAsia="ru-RU" w:bidi="ru-RU"/>
          <w:w w:val="100"/>
          <w:spacing w:val="0"/>
          <w:color w:val="000000"/>
          <w:position w:val="0"/>
        </w:rPr>
        <w:t xml:space="preserve"> подпунктами "а" </w:t>
      </w:r>
      <w:r>
        <w:rPr>
          <w:lang w:val="ru-RU" w:eastAsia="ru-RU" w:bidi="ru-RU"/>
          <w:w w:val="100"/>
          <w:spacing w:val="0"/>
          <w:color w:val="000000"/>
          <w:position w:val="0"/>
        </w:rPr>
        <w:t>-</w:t>
      </w:r>
      <w:r>
        <w:rPr>
          <w:lang w:val="ru-RU" w:eastAsia="ru-RU" w:bidi="ru-RU"/>
          <w:w w:val="100"/>
          <w:spacing w:val="0"/>
          <w:color w:val="000000"/>
          <w:position w:val="0"/>
        </w:rPr>
        <w:t xml:space="preserve"> "в" пункта 2,</w:t>
      </w:r>
      <w:r>
        <w:rPr>
          <w:lang w:val="ru-RU" w:eastAsia="ru-RU" w:bidi="ru-RU"/>
          <w:w w:val="100"/>
          <w:spacing w:val="0"/>
          <w:color w:val="000000"/>
          <w:position w:val="0"/>
        </w:rPr>
        <w:t xml:space="preserve"> пунктом 5 части 1 статьи 43</w:t>
      </w:r>
      <w:r>
        <w:rPr>
          <w:lang w:val="ru-RU" w:eastAsia="ru-RU" w:bidi="ru-RU"/>
          <w:w w:val="100"/>
          <w:spacing w:val="0"/>
          <w:color w:val="000000"/>
          <w:position w:val="0"/>
        </w:rPr>
        <w:t xml:space="preserve"> настоящего Федерального закона. Заявка также может содержать информацию и документы, предусмотренные </w:t>
      </w:r>
      <w:r>
        <w:rPr>
          <w:lang w:val="ru-RU" w:eastAsia="ru-RU" w:bidi="ru-RU"/>
          <w:w w:val="100"/>
          <w:spacing w:val="0"/>
          <w:color w:val="000000"/>
          <w:position w:val="0"/>
        </w:rPr>
        <w:t xml:space="preserve">подпунктом "д" пункта 2 части 1 статьи 43 </w:t>
      </w:r>
      <w:r>
        <w:rPr>
          <w:lang w:val="ru-RU" w:eastAsia="ru-RU" w:bidi="ru-RU"/>
          <w:w w:val="100"/>
          <w:spacing w:val="0"/>
          <w:color w:val="000000"/>
          <w:position w:val="0"/>
        </w:rPr>
        <w:t>настоящего Федерального закона (ч. 1 ст. 49 Закона о контрактной системе).</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силу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15)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w:t>
      </w:r>
      <w:r>
        <w:rPr>
          <w:lang w:val="ru-RU" w:eastAsia="ru-RU" w:bidi="ru-RU"/>
          <w:w w:val="100"/>
          <w:spacing w:val="0"/>
          <w:color w:val="000000"/>
          <w:position w:val="0"/>
        </w:rPr>
        <w:t xml:space="preserve"> статьей 14 </w:t>
      </w:r>
      <w:r>
        <w:rPr>
          <w:lang w:val="ru-RU" w:eastAsia="ru-RU" w:bidi="ru-RU"/>
          <w:w w:val="100"/>
          <w:spacing w:val="0"/>
          <w:color w:val="000000"/>
          <w:position w:val="0"/>
        </w:rPr>
        <w:t>настоящего Федерального закона.</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w:t>
      </w:r>
      <w:r>
        <w:rPr>
          <w:lang w:val="ru-RU" w:eastAsia="ru-RU" w:bidi="ru-RU"/>
          <w:w w:val="100"/>
          <w:spacing w:val="0"/>
          <w:color w:val="000000"/>
          <w:position w:val="0"/>
        </w:rPr>
        <w:t xml:space="preserve"> долю </w:t>
      </w:r>
      <w:r>
        <w:rPr>
          <w:lang w:val="ru-RU" w:eastAsia="ru-RU" w:bidi="ru-RU"/>
          <w:w w:val="100"/>
          <w:spacing w:val="0"/>
          <w:color w:val="000000"/>
          <w:position w:val="0"/>
        </w:rPr>
        <w:t>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w:t>
      </w:r>
      <w:r>
        <w:rPr>
          <w:lang w:val="ru-RU" w:eastAsia="ru-RU" w:bidi="ru-RU"/>
          <w:w w:val="100"/>
          <w:spacing w:val="0"/>
          <w:color w:val="000000"/>
          <w:position w:val="0"/>
        </w:rPr>
        <w:t xml:space="preserve"> порядок </w:t>
      </w:r>
      <w:r>
        <w:rPr>
          <w:lang w:val="ru-RU" w:eastAsia="ru-RU" w:bidi="ru-RU"/>
          <w:w w:val="100"/>
          <w:spacing w:val="0"/>
          <w:color w:val="000000"/>
          <w:position w:val="0"/>
        </w:rPr>
        <w:t>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 (ч. 3 ст. 14 Закона о контрактной системе).</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Указанный запрет на допуск промышленных товаров, происходящих из иностранных государств, установлен Постановлением Правительства РФ от 30.04.2020 </w:t>
      </w:r>
      <w:r>
        <w:rPr>
          <w:lang w:val="en-US" w:eastAsia="en-US" w:bidi="en-US"/>
          <w:w w:val="100"/>
          <w:spacing w:val="0"/>
          <w:color w:val="000000"/>
          <w:position w:val="0"/>
        </w:rPr>
        <w:t xml:space="preserve">N </w:t>
      </w:r>
      <w:r>
        <w:rPr>
          <w:lang w:val="ru-RU" w:eastAsia="ru-RU" w:bidi="ru-RU"/>
          <w:w w:val="100"/>
          <w:spacing w:val="0"/>
          <w:color w:val="000000"/>
          <w:position w:val="0"/>
        </w:rPr>
        <w:t>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Правительства РФ № 616).</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силу п. 10 Постановления Правительства РФ № 616 для подтверждения соответствия закупки промышленных товаров требованиям, установленным настоящим постановлением, участник закупки указывает (декларирует) в составе заявки на участие в закупке:</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w:t>
      </w:r>
      <w:r>
        <w:rPr>
          <w:lang w:val="ru-RU" w:eastAsia="ru-RU" w:bidi="ru-RU"/>
          <w:w w:val="100"/>
          <w:spacing w:val="0"/>
          <w:color w:val="000000"/>
          <w:position w:val="0"/>
        </w:rPr>
        <w:t xml:space="preserve"> пунктах 22 </w:t>
      </w:r>
      <w:r>
        <w:rPr>
          <w:lang w:val="ru-RU" w:eastAsia="ru-RU" w:bidi="ru-RU"/>
          <w:w w:val="100"/>
          <w:spacing w:val="0"/>
          <w:color w:val="000000"/>
          <w:position w:val="0"/>
        </w:rPr>
        <w:t>-</w:t>
      </w:r>
      <w:r>
        <w:rPr>
          <w:lang w:val="ru-RU" w:eastAsia="ru-RU" w:bidi="ru-RU"/>
          <w:w w:val="100"/>
          <w:spacing w:val="0"/>
          <w:color w:val="000000"/>
          <w:position w:val="0"/>
        </w:rPr>
        <w:t xml:space="preserve"> 27 </w:t>
      </w:r>
      <w:r>
        <w:rPr>
          <w:lang w:val="ru-RU" w:eastAsia="ru-RU" w:bidi="ru-RU"/>
          <w:w w:val="100"/>
          <w:spacing w:val="0"/>
          <w:color w:val="000000"/>
          <w:position w:val="0"/>
        </w:rPr>
        <w:t>и</w:t>
      </w:r>
      <w:r>
        <w:rPr>
          <w:lang w:val="ru-RU" w:eastAsia="ru-RU" w:bidi="ru-RU"/>
          <w:w w:val="100"/>
          <w:spacing w:val="0"/>
          <w:color w:val="000000"/>
          <w:position w:val="0"/>
        </w:rPr>
        <w:t xml:space="preserve"> 29 </w:t>
      </w:r>
      <w:r>
        <w:rPr>
          <w:lang w:val="ru-RU" w:eastAsia="ru-RU" w:bidi="ru-RU"/>
          <w:w w:val="100"/>
          <w:spacing w:val="0"/>
          <w:color w:val="000000"/>
          <w:position w:val="0"/>
        </w:rPr>
        <w:t>перечня),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w:t>
      </w:r>
      <w:r>
        <w:rPr>
          <w:lang w:val="ru-RU" w:eastAsia="ru-RU" w:bidi="ru-RU"/>
          <w:w w:val="100"/>
          <w:spacing w:val="0"/>
          <w:color w:val="000000"/>
          <w:position w:val="0"/>
        </w:rPr>
        <w:t xml:space="preserve"> постановлением </w:t>
      </w:r>
      <w:r>
        <w:rPr>
          <w:lang w:val="ru-RU" w:eastAsia="ru-RU" w:bidi="ru-RU"/>
          <w:w w:val="100"/>
          <w:spacing w:val="0"/>
          <w:color w:val="000000"/>
          <w:position w:val="0"/>
        </w:rPr>
        <w:t xml:space="preserve">Правительства Российской Федерации от 17 июля 2015 г. </w:t>
      </w:r>
      <w:r>
        <w:rPr>
          <w:lang w:val="en-US" w:eastAsia="en-US" w:bidi="en-US"/>
          <w:w w:val="100"/>
          <w:spacing w:val="0"/>
          <w:color w:val="000000"/>
          <w:position w:val="0"/>
        </w:rPr>
        <w:t xml:space="preserve">N </w:t>
      </w:r>
      <w:r>
        <w:rPr>
          <w:lang w:val="ru-RU" w:eastAsia="ru-RU" w:bidi="ru-RU"/>
          <w:w w:val="100"/>
          <w:spacing w:val="0"/>
          <w:color w:val="000000"/>
          <w:position w:val="0"/>
        </w:rPr>
        <w:t>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w:t>
      </w:r>
      <w:r>
        <w:rPr>
          <w:lang w:val="ru-RU" w:eastAsia="ru-RU" w:bidi="ru-RU"/>
          <w:w w:val="100"/>
          <w:spacing w:val="0"/>
          <w:color w:val="000000"/>
          <w:position w:val="0"/>
        </w:rPr>
        <w:t xml:space="preserve"> решением </w:t>
      </w:r>
      <w:r>
        <w:rPr>
          <w:lang w:val="ru-RU" w:eastAsia="ru-RU" w:bidi="ru-RU"/>
          <w:w w:val="100"/>
          <w:spacing w:val="0"/>
          <w:color w:val="000000"/>
          <w:position w:val="0"/>
        </w:rPr>
        <w:t xml:space="preserve">Совета Евразийской экономической комиссии от 23 ноября 2020 г. </w:t>
      </w:r>
      <w:r>
        <w:rPr>
          <w:lang w:val="en-US" w:eastAsia="en-US" w:bidi="en-US"/>
          <w:w w:val="100"/>
          <w:spacing w:val="0"/>
          <w:color w:val="000000"/>
          <w:position w:val="0"/>
        </w:rPr>
        <w:t xml:space="preserve">N </w:t>
      </w:r>
      <w:r>
        <w:rPr>
          <w:lang w:val="ru-RU" w:eastAsia="ru-RU" w:bidi="ru-RU"/>
          <w:w w:val="100"/>
          <w:spacing w:val="0"/>
          <w:color w:val="000000"/>
          <w:position w:val="0"/>
        </w:rPr>
        <w:t>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в отношении товаров, страной происхождения которых является Донецкая Народная Республика, Луганская Народная Республика, - номера реестровых записей из реестра, указанного в</w:t>
      </w:r>
      <w:r>
        <w:rPr>
          <w:lang w:val="ru-RU" w:eastAsia="ru-RU" w:bidi="ru-RU"/>
          <w:w w:val="100"/>
          <w:spacing w:val="0"/>
          <w:color w:val="000000"/>
          <w:position w:val="0"/>
        </w:rPr>
        <w:t xml:space="preserve"> подпункте "в" пункта 6 </w:t>
      </w:r>
      <w:r>
        <w:rPr>
          <w:lang w:val="ru-RU" w:eastAsia="ru-RU" w:bidi="ru-RU"/>
          <w:w w:val="100"/>
          <w:spacing w:val="0"/>
          <w:color w:val="000000"/>
          <w:position w:val="0"/>
        </w:rPr>
        <w:t>настоящего постановления. Информация о реестровых записях о товаре и совокупном количестве баллов включается в контракт.</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Согласно п.п. 1, 3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3"/>
        <w:tabs>
          <w:tab w:leader="none" w:pos="1357" w:val="left"/>
        </w:tabs>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1)</w:t>
        <w:tab/>
        <w:t>описание объекта закупки в соответствии со</w:t>
      </w:r>
      <w:r>
        <w:rPr>
          <w:lang w:val="ru-RU" w:eastAsia="ru-RU" w:bidi="ru-RU"/>
          <w:w w:val="100"/>
          <w:spacing w:val="0"/>
          <w:color w:val="000000"/>
          <w:position w:val="0"/>
        </w:rPr>
        <w:t xml:space="preserve"> статьей 33 </w:t>
      </w:r>
      <w:r>
        <w:rPr>
          <w:lang w:val="ru-RU" w:eastAsia="ru-RU" w:bidi="ru-RU"/>
          <w:w w:val="100"/>
          <w:spacing w:val="0"/>
          <w:color w:val="000000"/>
          <w:position w:val="0"/>
        </w:rPr>
        <w:t>настоящего Федерального закона;</w:t>
      </w:r>
    </w:p>
    <w:p>
      <w:pPr>
        <w:pStyle w:val="Style3"/>
        <w:tabs>
          <w:tab w:leader="none" w:pos="1357" w:val="left"/>
        </w:tabs>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3)</w:t>
        <w:tab/>
        <w:t>требования к содержанию, составу заявки на участие в закупке в соответствии с настоящим</w:t>
      </w:r>
    </w:p>
    <w:p>
      <w:pPr>
        <w:pStyle w:val="Style3"/>
        <w:widowControl w:val="0"/>
        <w:keepNext w:val="0"/>
        <w:keepLines w:val="0"/>
        <w:shd w:val="clear" w:color="auto" w:fill="auto"/>
        <w:bidi w:val="0"/>
        <w:spacing w:before="0" w:after="0" w:line="226" w:lineRule="exact"/>
        <w:ind w:left="20" w:right="20" w:firstLine="0"/>
      </w:pPr>
      <w:r>
        <w:rPr>
          <w:lang w:val="ru-RU" w:eastAsia="ru-RU" w:bidi="ru-RU"/>
          <w:w w:val="100"/>
          <w:spacing w:val="0"/>
          <w:color w:val="000000"/>
          <w:position w:val="0"/>
        </w:rPr>
        <w:t>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3"/>
        <w:numPr>
          <w:ilvl w:val="0"/>
          <w:numId w:val="3"/>
        </w:numPr>
        <w:tabs>
          <w:tab w:leader="none" w:pos="1071" w:val="left"/>
        </w:tabs>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(п. 1 ч. 1 ст. 33 Закона о контрактной системе).</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силу пп. «в»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w:t>
      </w:r>
    </w:p>
    <w:p>
      <w:pPr>
        <w:pStyle w:val="Style3"/>
        <w:numPr>
          <w:ilvl w:val="0"/>
          <w:numId w:val="3"/>
        </w:numPr>
        <w:tabs>
          <w:tab w:leader="none" w:pos="1034" w:val="left"/>
        </w:tabs>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предложение участника закупки в отношении объекта закупки:</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Исходя из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3"/>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1) члены комиссии по осуществлению закупок:</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а) рассматривают заявки на участие в закупке, информацию и документы, направленные оператором электронной площадки в соответствии с</w:t>
      </w:r>
      <w:r>
        <w:rPr>
          <w:lang w:val="ru-RU" w:eastAsia="ru-RU" w:bidi="ru-RU"/>
          <w:w w:val="100"/>
          <w:spacing w:val="0"/>
          <w:color w:val="000000"/>
          <w:position w:val="0"/>
        </w:rPr>
        <w:t xml:space="preserve"> пунктом 4 части 4 </w:t>
      </w:r>
      <w:r>
        <w:rPr>
          <w:lang w:val="ru-RU" w:eastAsia="ru-RU" w:bidi="ru-RU"/>
          <w:w w:val="100"/>
          <w:spacing w:val="0"/>
          <w:color w:val="000000"/>
          <w:position w:val="0"/>
        </w:rPr>
        <w:t>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w:t>
      </w:r>
      <w:r>
        <w:rPr>
          <w:lang w:val="ru-RU" w:eastAsia="ru-RU" w:bidi="ru-RU"/>
          <w:w w:val="100"/>
          <w:spacing w:val="0"/>
          <w:color w:val="000000"/>
          <w:position w:val="0"/>
        </w:rPr>
        <w:t xml:space="preserve"> пунктами 1 </w:t>
      </w:r>
      <w:r>
        <w:rPr>
          <w:lang w:val="ru-RU" w:eastAsia="ru-RU" w:bidi="ru-RU"/>
          <w:w w:val="100"/>
          <w:spacing w:val="0"/>
          <w:color w:val="000000"/>
          <w:position w:val="0"/>
        </w:rPr>
        <w:t>-</w:t>
      </w:r>
      <w:r>
        <w:rPr>
          <w:lang w:val="ru-RU" w:eastAsia="ru-RU" w:bidi="ru-RU"/>
          <w:w w:val="100"/>
          <w:spacing w:val="0"/>
          <w:color w:val="000000"/>
          <w:position w:val="0"/>
        </w:rPr>
        <w:t xml:space="preserve"> 8 части 12 статьи 48 </w:t>
      </w:r>
      <w:r>
        <w:rPr>
          <w:lang w:val="ru-RU" w:eastAsia="ru-RU" w:bidi="ru-RU"/>
          <w:w w:val="100"/>
          <w:spacing w:val="0"/>
          <w:color w:val="000000"/>
          <w:position w:val="0"/>
        </w:rPr>
        <w:t>настоящего Федерального закона.</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На основании п. 1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w:t>
      </w:r>
      <w:r>
        <w:rPr>
          <w:lang w:val="ru-RU" w:eastAsia="ru-RU" w:bidi="ru-RU"/>
          <w:w w:val="100"/>
          <w:spacing w:val="0"/>
          <w:color w:val="000000"/>
          <w:position w:val="0"/>
        </w:rPr>
        <w:t xml:space="preserve"> пунктами 2 </w:t>
      </w:r>
      <w:r>
        <w:rPr>
          <w:lang w:val="ru-RU" w:eastAsia="ru-RU" w:bidi="ru-RU"/>
          <w:w w:val="100"/>
          <w:spacing w:val="0"/>
          <w:color w:val="000000"/>
          <w:position w:val="0"/>
        </w:rPr>
        <w:t>и</w:t>
      </w:r>
      <w:r>
        <w:rPr>
          <w:lang w:val="ru-RU" w:eastAsia="ru-RU" w:bidi="ru-RU"/>
          <w:w w:val="100"/>
          <w:spacing w:val="0"/>
          <w:color w:val="000000"/>
          <w:position w:val="0"/>
        </w:rPr>
        <w:t xml:space="preserve"> 3 части 6 статьи 43 </w:t>
      </w:r>
      <w:r>
        <w:rPr>
          <w:lang w:val="ru-RU" w:eastAsia="ru-RU" w:bidi="ru-RU"/>
          <w:w w:val="100"/>
          <w:spacing w:val="0"/>
          <w:color w:val="000000"/>
          <w:position w:val="0"/>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Комиссией установлено, что наименованием объекта закупки является </w:t>
      </w:r>
      <w:r>
        <w:rPr>
          <w:rStyle w:val="CharStyle15"/>
        </w:rPr>
        <w:t>«приобретение вакуумной (ассенизационной) машины»</w:t>
      </w:r>
      <w:r>
        <w:rPr>
          <w:lang w:val="ru-RU" w:eastAsia="ru-RU" w:bidi="ru-RU"/>
          <w:w w:val="100"/>
          <w:spacing w:val="0"/>
          <w:color w:val="000000"/>
          <w:position w:val="0"/>
        </w:rPr>
        <w:t xml:space="preserve"> (структурированная форма извещения).</w:t>
      </w:r>
    </w:p>
    <w:p>
      <w:pPr>
        <w:pStyle w:val="Style16"/>
        <w:framePr w:w="9648" w:wrap="notBeside" w:vAnchor="text" w:hAnchor="text" w:xAlign="center" w:y="1"/>
        <w:tabs>
          <w:tab w:leader="underscore" w:pos="9643" w:val="left"/>
        </w:tabs>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Из описания объекта закупки следует, что закупаемый заказчиком товар должен обладать следующими </w:t>
      </w:r>
      <w:r>
        <w:rPr>
          <w:rStyle w:val="CharStyle18"/>
        </w:rPr>
        <w:t>техническими характеристиками:</w:t>
      </w:r>
      <w:r>
        <w:rPr>
          <w:lang w:val="ru-RU" w:eastAsia="ru-RU" w:bidi="ru-RU"/>
          <w:w w:val="100"/>
          <w:spacing w:val="0"/>
          <w:color w:val="000000"/>
          <w:position w:val="0"/>
        </w:rPr>
        <w:tab/>
      </w:r>
    </w:p>
    <w:tbl>
      <w:tblPr>
        <w:tblOverlap w:val="never"/>
        <w:tblLayout w:type="fixed"/>
        <w:jc w:val="center"/>
      </w:tblPr>
      <w:tblGrid>
        <w:gridCol w:w="878"/>
        <w:gridCol w:w="2083"/>
        <w:gridCol w:w="682"/>
        <w:gridCol w:w="715"/>
        <w:gridCol w:w="1858"/>
        <w:gridCol w:w="1805"/>
        <w:gridCol w:w="1627"/>
      </w:tblGrid>
      <w:tr>
        <w:trPr>
          <w:trHeight w:val="994" w:hRule="exact"/>
        </w:trPr>
        <w:tc>
          <w:tcPr>
            <w:shd w:val="clear" w:color="auto" w:fill="FFFFFF"/>
            <w:tcBorders>
              <w:left w:val="single" w:sz="4"/>
              <w:top w:val="single" w:sz="4"/>
            </w:tcBorders>
            <w:vAlign w:val="top"/>
          </w:tcPr>
          <w:p>
            <w:pPr>
              <w:pStyle w:val="Style3"/>
              <w:framePr w:w="9648" w:wrap="notBeside" w:vAnchor="text" w:hAnchor="text" w:xAlign="center" w:y="1"/>
              <w:widowControl w:val="0"/>
              <w:keepNext w:val="0"/>
              <w:keepLines w:val="0"/>
              <w:shd w:val="clear" w:color="auto" w:fill="auto"/>
              <w:bidi w:val="0"/>
              <w:jc w:val="left"/>
              <w:spacing w:before="0" w:after="60" w:line="190" w:lineRule="exact"/>
              <w:ind w:left="140" w:right="0" w:firstLine="0"/>
            </w:pPr>
            <w:r>
              <w:rPr>
                <w:rStyle w:val="CharStyle19"/>
              </w:rPr>
              <w:t>Номер</w:t>
            </w:r>
          </w:p>
          <w:p>
            <w:pPr>
              <w:pStyle w:val="Style3"/>
              <w:framePr w:w="9648" w:wrap="notBeside" w:vAnchor="text" w:hAnchor="text" w:xAlign="center" w:y="1"/>
              <w:widowControl w:val="0"/>
              <w:keepNext w:val="0"/>
              <w:keepLines w:val="0"/>
              <w:shd w:val="clear" w:color="auto" w:fill="auto"/>
              <w:bidi w:val="0"/>
              <w:jc w:val="left"/>
              <w:spacing w:before="60" w:after="0" w:line="190" w:lineRule="exact"/>
              <w:ind w:left="140" w:right="0" w:firstLine="0"/>
            </w:pPr>
            <w:r>
              <w:rPr>
                <w:rStyle w:val="CharStyle19"/>
              </w:rPr>
              <w:t>строки</w:t>
            </w:r>
          </w:p>
        </w:tc>
        <w:tc>
          <w:tcPr>
            <w:shd w:val="clear" w:color="auto" w:fill="FFFFFF"/>
            <w:tcBorders>
              <w:left w:val="single" w:sz="4"/>
              <w:top w:val="single" w:sz="4"/>
            </w:tcBorders>
            <w:vAlign w:val="top"/>
          </w:tcPr>
          <w:p>
            <w:pPr>
              <w:pStyle w:val="Style3"/>
              <w:framePr w:w="9648"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19"/>
              </w:rPr>
              <w:t>Наименование товара</w:t>
            </w:r>
          </w:p>
        </w:tc>
        <w:tc>
          <w:tcPr>
            <w:shd w:val="clear" w:color="auto" w:fill="FFFFFF"/>
            <w:tcBorders>
              <w:left w:val="single" w:sz="4"/>
              <w:top w:val="single" w:sz="4"/>
            </w:tcBorders>
            <w:vAlign w:val="top"/>
          </w:tcPr>
          <w:p>
            <w:pPr>
              <w:pStyle w:val="Style3"/>
              <w:framePr w:w="9648" w:wrap="notBeside" w:vAnchor="text" w:hAnchor="text" w:xAlign="center" w:y="1"/>
              <w:widowControl w:val="0"/>
              <w:keepNext w:val="0"/>
              <w:keepLines w:val="0"/>
              <w:shd w:val="clear" w:color="auto" w:fill="auto"/>
              <w:bidi w:val="0"/>
              <w:jc w:val="left"/>
              <w:spacing w:before="0" w:after="60" w:line="190" w:lineRule="exact"/>
              <w:ind w:left="180" w:right="0" w:firstLine="0"/>
            </w:pPr>
            <w:r>
              <w:rPr>
                <w:rStyle w:val="CharStyle19"/>
              </w:rPr>
              <w:t>Ед.</w:t>
            </w:r>
          </w:p>
          <w:p>
            <w:pPr>
              <w:pStyle w:val="Style3"/>
              <w:framePr w:w="9648" w:wrap="notBeside" w:vAnchor="text" w:hAnchor="text" w:xAlign="center" w:y="1"/>
              <w:widowControl w:val="0"/>
              <w:keepNext w:val="0"/>
              <w:keepLines w:val="0"/>
              <w:shd w:val="clear" w:color="auto" w:fill="auto"/>
              <w:bidi w:val="0"/>
              <w:jc w:val="left"/>
              <w:spacing w:before="60" w:after="0" w:line="190" w:lineRule="exact"/>
              <w:ind w:left="180" w:right="0" w:firstLine="0"/>
            </w:pPr>
            <w:r>
              <w:rPr>
                <w:rStyle w:val="CharStyle19"/>
              </w:rPr>
              <w:t>изм.</w:t>
            </w:r>
          </w:p>
        </w:tc>
        <w:tc>
          <w:tcPr>
            <w:shd w:val="clear" w:color="auto" w:fill="FFFFFF"/>
            <w:tcBorders>
              <w:left w:val="single" w:sz="4"/>
              <w:top w:val="single" w:sz="4"/>
            </w:tcBorders>
            <w:vAlign w:val="top"/>
          </w:tcPr>
          <w:p>
            <w:pPr>
              <w:pStyle w:val="Style3"/>
              <w:framePr w:w="9648" w:wrap="notBeside" w:vAnchor="text" w:hAnchor="text" w:xAlign="center" w:y="1"/>
              <w:widowControl w:val="0"/>
              <w:keepNext w:val="0"/>
              <w:keepLines w:val="0"/>
              <w:shd w:val="clear" w:color="auto" w:fill="auto"/>
              <w:bidi w:val="0"/>
              <w:jc w:val="center"/>
              <w:spacing w:before="0" w:after="60" w:line="190" w:lineRule="exact"/>
              <w:ind w:left="0" w:right="0" w:firstLine="0"/>
            </w:pPr>
            <w:r>
              <w:rPr>
                <w:rStyle w:val="CharStyle19"/>
              </w:rPr>
              <w:t>Кол-</w:t>
            </w:r>
          </w:p>
          <w:p>
            <w:pPr>
              <w:pStyle w:val="Style3"/>
              <w:framePr w:w="9648" w:wrap="notBeside" w:vAnchor="text" w:hAnchor="text" w:xAlign="center" w:y="1"/>
              <w:widowControl w:val="0"/>
              <w:keepNext w:val="0"/>
              <w:keepLines w:val="0"/>
              <w:shd w:val="clear" w:color="auto" w:fill="auto"/>
              <w:bidi w:val="0"/>
              <w:jc w:val="center"/>
              <w:spacing w:before="60" w:after="0" w:line="190" w:lineRule="exact"/>
              <w:ind w:left="0" w:right="0" w:firstLine="0"/>
            </w:pPr>
            <w:r>
              <w:rPr>
                <w:rStyle w:val="CharStyle19"/>
              </w:rPr>
              <w:t>во</w:t>
            </w:r>
          </w:p>
        </w:tc>
        <w:tc>
          <w:tcPr>
            <w:shd w:val="clear" w:color="auto" w:fill="FFFFFF"/>
            <w:tcBorders>
              <w:left w:val="single" w:sz="4"/>
              <w:top w:val="single" w:sz="4"/>
            </w:tcBorders>
            <w:vAlign w:val="top"/>
          </w:tcPr>
          <w:p>
            <w:pPr>
              <w:pStyle w:val="Style3"/>
              <w:framePr w:w="9648" w:wrap="notBeside" w:vAnchor="text" w:hAnchor="text" w:xAlign="center" w:y="1"/>
              <w:widowControl w:val="0"/>
              <w:keepNext w:val="0"/>
              <w:keepLines w:val="0"/>
              <w:shd w:val="clear" w:color="auto" w:fill="auto"/>
              <w:bidi w:val="0"/>
              <w:jc w:val="center"/>
              <w:spacing w:before="0" w:after="60" w:line="190" w:lineRule="exact"/>
              <w:ind w:left="0" w:right="0" w:firstLine="0"/>
            </w:pPr>
            <w:r>
              <w:rPr>
                <w:rStyle w:val="CharStyle19"/>
              </w:rPr>
              <w:t>Наименование</w:t>
            </w:r>
          </w:p>
          <w:p>
            <w:pPr>
              <w:pStyle w:val="Style3"/>
              <w:framePr w:w="9648" w:wrap="notBeside" w:vAnchor="text" w:hAnchor="text" w:xAlign="center" w:y="1"/>
              <w:widowControl w:val="0"/>
              <w:keepNext w:val="0"/>
              <w:keepLines w:val="0"/>
              <w:shd w:val="clear" w:color="auto" w:fill="auto"/>
              <w:bidi w:val="0"/>
              <w:jc w:val="center"/>
              <w:spacing w:before="60" w:after="0" w:line="190" w:lineRule="exact"/>
              <w:ind w:left="0" w:right="0" w:firstLine="0"/>
            </w:pPr>
            <w:r>
              <w:rPr>
                <w:rStyle w:val="CharStyle19"/>
              </w:rPr>
              <w:t>показателя</w:t>
            </w:r>
          </w:p>
        </w:tc>
        <w:tc>
          <w:tcPr>
            <w:shd w:val="clear" w:color="auto" w:fill="FFFFFF"/>
            <w:tcBorders>
              <w:left w:val="single" w:sz="4"/>
              <w:top w:val="single" w:sz="4"/>
            </w:tcBorders>
            <w:vAlign w:val="top"/>
          </w:tcPr>
          <w:p>
            <w:pPr>
              <w:pStyle w:val="Style3"/>
              <w:framePr w:w="964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9"/>
              </w:rPr>
              <w:t>Содержание</w:t>
            </w:r>
          </w:p>
          <w:p>
            <w:pPr>
              <w:pStyle w:val="Style3"/>
              <w:framePr w:w="964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9"/>
              </w:rPr>
              <w:t>(значение)</w:t>
            </w:r>
          </w:p>
          <w:p>
            <w:pPr>
              <w:pStyle w:val="Style3"/>
              <w:framePr w:w="964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9"/>
              </w:rPr>
              <w:t>показателя</w:t>
            </w:r>
          </w:p>
        </w:tc>
        <w:tc>
          <w:tcPr>
            <w:shd w:val="clear" w:color="auto" w:fill="FFFFFF"/>
            <w:tcBorders>
              <w:left w:val="single" w:sz="4"/>
              <w:right w:val="single" w:sz="4"/>
              <w:top w:val="single" w:sz="4"/>
            </w:tcBorders>
            <w:vAlign w:val="top"/>
          </w:tcPr>
          <w:p>
            <w:pPr>
              <w:pStyle w:val="Style3"/>
              <w:framePr w:w="9648"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19"/>
              </w:rPr>
              <w:t>Обоснование</w:t>
            </w:r>
          </w:p>
          <w:p>
            <w:pPr>
              <w:pStyle w:val="Style3"/>
              <w:framePr w:w="9648"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19"/>
              </w:rPr>
              <w:t>использования</w:t>
            </w:r>
          </w:p>
          <w:p>
            <w:pPr>
              <w:pStyle w:val="Style3"/>
              <w:framePr w:w="9648"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19"/>
              </w:rPr>
              <w:t>характеристик</w:t>
            </w:r>
          </w:p>
        </w:tc>
      </w:tr>
      <w:tr>
        <w:trPr>
          <w:trHeight w:val="240" w:hRule="exact"/>
        </w:trPr>
        <w:tc>
          <w:tcPr>
            <w:shd w:val="clear" w:color="auto" w:fill="FFFFFF"/>
            <w:tcBorders>
              <w:left w:val="single" w:sz="4"/>
              <w:top w:val="single" w:sz="4"/>
            </w:tcBorders>
            <w:vAlign w:val="bottom"/>
          </w:tcPr>
          <w:p>
            <w:pPr>
              <w:pStyle w:val="Style3"/>
              <w:framePr w:w="9648"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19"/>
              </w:rPr>
              <w:t>1</w:t>
            </w:r>
          </w:p>
        </w:tc>
        <w:tc>
          <w:tcPr>
            <w:shd w:val="clear" w:color="auto" w:fill="FFFFFF"/>
            <w:tcBorders>
              <w:left w:val="single" w:sz="4"/>
              <w:top w:val="single" w:sz="4"/>
            </w:tcBorders>
            <w:vAlign w:val="bottom"/>
          </w:tcPr>
          <w:p>
            <w:pPr>
              <w:pStyle w:val="Style3"/>
              <w:framePr w:w="9648"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19"/>
              </w:rPr>
              <w:t>2</w:t>
            </w:r>
          </w:p>
        </w:tc>
        <w:tc>
          <w:tcPr>
            <w:shd w:val="clear" w:color="auto" w:fill="FFFFFF"/>
            <w:tcBorders>
              <w:left w:val="single" w:sz="4"/>
              <w:top w:val="single" w:sz="4"/>
            </w:tcBorders>
            <w:vAlign w:val="top"/>
          </w:tcPr>
          <w:p>
            <w:pPr>
              <w:pStyle w:val="Style3"/>
              <w:framePr w:w="9648"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19"/>
              </w:rPr>
              <w:t>3</w:t>
            </w:r>
          </w:p>
        </w:tc>
        <w:tc>
          <w:tcPr>
            <w:shd w:val="clear" w:color="auto" w:fill="FFFFFF"/>
            <w:tcBorders>
              <w:left w:val="single" w:sz="4"/>
              <w:top w:val="single" w:sz="4"/>
            </w:tcBorders>
            <w:vAlign w:val="top"/>
          </w:tcPr>
          <w:p>
            <w:pPr>
              <w:pStyle w:val="Style3"/>
              <w:framePr w:w="9648"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19"/>
              </w:rPr>
              <w:t>4</w:t>
            </w:r>
          </w:p>
        </w:tc>
        <w:tc>
          <w:tcPr>
            <w:shd w:val="clear" w:color="auto" w:fill="FFFFFF"/>
            <w:tcBorders>
              <w:left w:val="single" w:sz="4"/>
              <w:top w:val="single" w:sz="4"/>
            </w:tcBorders>
            <w:vAlign w:val="top"/>
          </w:tcPr>
          <w:p>
            <w:pPr>
              <w:pStyle w:val="Style3"/>
              <w:framePr w:w="9648" w:wrap="notBeside" w:vAnchor="text" w:hAnchor="text" w:xAlign="center" w:y="1"/>
              <w:widowControl w:val="0"/>
              <w:keepNext w:val="0"/>
              <w:keepLines w:val="0"/>
              <w:shd w:val="clear" w:color="auto" w:fill="auto"/>
              <w:bidi w:val="0"/>
              <w:spacing w:before="0" w:after="0" w:line="190" w:lineRule="exact"/>
              <w:ind w:left="0" w:right="0" w:firstLine="0"/>
            </w:pPr>
            <w:r>
              <w:rPr>
                <w:rStyle w:val="CharStyle19"/>
              </w:rPr>
              <w:t>5</w:t>
            </w:r>
          </w:p>
        </w:tc>
        <w:tc>
          <w:tcPr>
            <w:shd w:val="clear" w:color="auto" w:fill="FFFFFF"/>
            <w:tcBorders>
              <w:left w:val="single" w:sz="4"/>
              <w:top w:val="single" w:sz="4"/>
            </w:tcBorders>
            <w:vAlign w:val="bottom"/>
          </w:tcPr>
          <w:p>
            <w:pPr>
              <w:pStyle w:val="Style3"/>
              <w:framePr w:w="9648"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19"/>
              </w:rPr>
              <w:t>6</w:t>
            </w:r>
          </w:p>
        </w:tc>
        <w:tc>
          <w:tcPr>
            <w:shd w:val="clear" w:color="auto" w:fill="FFFFFF"/>
            <w:tcBorders>
              <w:left w:val="single" w:sz="4"/>
              <w:right w:val="single" w:sz="4"/>
              <w:top w:val="single" w:sz="4"/>
            </w:tcBorders>
            <w:vAlign w:val="top"/>
          </w:tcPr>
          <w:p>
            <w:pPr>
              <w:pStyle w:val="Style3"/>
              <w:framePr w:w="9648"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19"/>
              </w:rPr>
              <w:t>7</w:t>
            </w:r>
          </w:p>
        </w:tc>
      </w:tr>
      <w:tr>
        <w:trPr>
          <w:trHeight w:val="1162" w:hRule="exact"/>
        </w:trPr>
        <w:tc>
          <w:tcPr>
            <w:shd w:val="clear" w:color="auto" w:fill="FFFFFF"/>
            <w:tcBorders>
              <w:left w:val="single" w:sz="4"/>
              <w:top w:val="single" w:sz="4"/>
            </w:tcBorders>
            <w:vAlign w:val="top"/>
          </w:tcPr>
          <w:p>
            <w:pPr>
              <w:pStyle w:val="Style3"/>
              <w:framePr w:w="9648"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19"/>
              </w:rPr>
              <w:t>1</w:t>
            </w:r>
          </w:p>
        </w:tc>
        <w:tc>
          <w:tcPr>
            <w:shd w:val="clear" w:color="auto" w:fill="FFFFFF"/>
            <w:tcBorders>
              <w:left w:val="single" w:sz="4"/>
              <w:top w:val="single" w:sz="4"/>
            </w:tcBorders>
            <w:vAlign w:val="top"/>
          </w:tcPr>
          <w:p>
            <w:pPr>
              <w:pStyle w:val="Style3"/>
              <w:framePr w:w="9648" w:wrap="notBeside" w:vAnchor="text" w:hAnchor="text" w:xAlign="center" w:y="1"/>
              <w:widowControl w:val="0"/>
              <w:keepNext w:val="0"/>
              <w:keepLines w:val="0"/>
              <w:shd w:val="clear" w:color="auto" w:fill="auto"/>
              <w:bidi w:val="0"/>
              <w:jc w:val="left"/>
              <w:spacing w:before="0" w:after="0" w:line="226" w:lineRule="exact"/>
              <w:ind w:left="260" w:right="0" w:firstLine="0"/>
            </w:pPr>
            <w:r>
              <w:rPr>
                <w:rStyle w:val="CharStyle19"/>
              </w:rPr>
              <w:t>Вакуумная</w:t>
            </w:r>
          </w:p>
          <w:p>
            <w:pPr>
              <w:pStyle w:val="Style3"/>
              <w:framePr w:w="9648" w:wrap="notBeside" w:vAnchor="text" w:hAnchor="text" w:xAlign="center" w:y="1"/>
              <w:widowControl w:val="0"/>
              <w:keepNext w:val="0"/>
              <w:keepLines w:val="0"/>
              <w:shd w:val="clear" w:color="auto" w:fill="auto"/>
              <w:bidi w:val="0"/>
              <w:jc w:val="left"/>
              <w:spacing w:before="0" w:after="0" w:line="226" w:lineRule="exact"/>
              <w:ind w:left="260" w:right="0" w:firstLine="0"/>
            </w:pPr>
            <w:r>
              <w:rPr>
                <w:rStyle w:val="CharStyle19"/>
              </w:rPr>
              <w:t>(ассенизационная)</w:t>
            </w:r>
          </w:p>
          <w:p>
            <w:pPr>
              <w:pStyle w:val="Style3"/>
              <w:framePr w:w="9648" w:wrap="notBeside" w:vAnchor="text" w:hAnchor="text" w:xAlign="center" w:y="1"/>
              <w:widowControl w:val="0"/>
              <w:keepNext w:val="0"/>
              <w:keepLines w:val="0"/>
              <w:shd w:val="clear" w:color="auto" w:fill="auto"/>
              <w:bidi w:val="0"/>
              <w:jc w:val="left"/>
              <w:spacing w:before="0" w:after="0" w:line="226" w:lineRule="exact"/>
              <w:ind w:left="260" w:right="0" w:firstLine="0"/>
            </w:pPr>
            <w:r>
              <w:rPr>
                <w:rStyle w:val="CharStyle19"/>
              </w:rPr>
              <w:t>машина</w:t>
            </w:r>
          </w:p>
        </w:tc>
        <w:tc>
          <w:tcPr>
            <w:shd w:val="clear" w:color="auto" w:fill="FFFFFF"/>
            <w:tcBorders>
              <w:left w:val="single" w:sz="4"/>
              <w:top w:val="single" w:sz="4"/>
            </w:tcBorders>
            <w:vAlign w:val="top"/>
          </w:tcPr>
          <w:p>
            <w:pPr>
              <w:pStyle w:val="Style3"/>
              <w:framePr w:w="9648"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19"/>
              </w:rPr>
              <w:t>Шт.</w:t>
            </w:r>
          </w:p>
        </w:tc>
        <w:tc>
          <w:tcPr>
            <w:shd w:val="clear" w:color="auto" w:fill="FFFFFF"/>
            <w:tcBorders>
              <w:left w:val="single" w:sz="4"/>
              <w:top w:val="single" w:sz="4"/>
            </w:tcBorders>
            <w:vAlign w:val="top"/>
          </w:tcPr>
          <w:p>
            <w:pPr>
              <w:pStyle w:val="Style3"/>
              <w:framePr w:w="9648"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19"/>
              </w:rPr>
              <w:t>1</w:t>
            </w:r>
          </w:p>
        </w:tc>
        <w:tc>
          <w:tcPr>
            <w:shd w:val="clear" w:color="auto" w:fill="FFFFFF"/>
            <w:tcBorders>
              <w:left w:val="single" w:sz="4"/>
              <w:top w:val="single" w:sz="4"/>
            </w:tcBorders>
            <w:vAlign w:val="top"/>
          </w:tcPr>
          <w:p>
            <w:pPr>
              <w:pStyle w:val="Style3"/>
              <w:framePr w:w="9648" w:wrap="notBeside" w:vAnchor="text" w:hAnchor="text" w:xAlign="center" w:y="1"/>
              <w:widowControl w:val="0"/>
              <w:keepNext w:val="0"/>
              <w:keepLines w:val="0"/>
              <w:shd w:val="clear" w:color="auto" w:fill="auto"/>
              <w:bidi w:val="0"/>
              <w:spacing w:before="0" w:after="0" w:line="230" w:lineRule="exact"/>
              <w:ind w:left="0" w:right="0" w:firstLine="0"/>
            </w:pPr>
            <w:r>
              <w:rPr>
                <w:rStyle w:val="CharStyle19"/>
              </w:rPr>
              <w:t>Глубина очистки для илососных и ассенизационных машин, метр</w:t>
            </w:r>
          </w:p>
        </w:tc>
        <w:tc>
          <w:tcPr>
            <w:shd w:val="clear" w:color="auto" w:fill="FFFFFF"/>
            <w:tcBorders>
              <w:left w:val="single" w:sz="4"/>
              <w:top w:val="single" w:sz="4"/>
            </w:tcBorders>
            <w:vAlign w:val="top"/>
          </w:tcPr>
          <w:p>
            <w:pPr>
              <w:pStyle w:val="Style3"/>
              <w:framePr w:w="964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19"/>
              </w:rPr>
              <w:t>&gt; 4 и &lt; 6</w:t>
            </w:r>
          </w:p>
        </w:tc>
        <w:tc>
          <w:tcPr>
            <w:shd w:val="clear" w:color="auto" w:fill="FFFFFF"/>
            <w:tcBorders>
              <w:left w:val="single" w:sz="4"/>
              <w:right w:val="single" w:sz="4"/>
              <w:top w:val="single" w:sz="4"/>
            </w:tcBorders>
            <w:vAlign w:val="top"/>
          </w:tcPr>
          <w:p>
            <w:pPr>
              <w:pStyle w:val="Style3"/>
              <w:framePr w:w="964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9"/>
              </w:rPr>
              <w:t>КТРУ</w:t>
            </w:r>
          </w:p>
          <w:p>
            <w:pPr>
              <w:pStyle w:val="Style3"/>
              <w:framePr w:w="964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9"/>
              </w:rPr>
              <w:t>29.10.59.130</w:t>
              <w:softHyphen/>
            </w:r>
          </w:p>
          <w:p>
            <w:pPr>
              <w:pStyle w:val="Style3"/>
              <w:framePr w:w="964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9"/>
              </w:rPr>
              <w:t>00000004</w:t>
            </w:r>
          </w:p>
        </w:tc>
      </w:tr>
      <w:tr>
        <w:trPr>
          <w:trHeight w:val="470" w:hRule="exact"/>
        </w:trPr>
        <w:tc>
          <w:tcPr>
            <w:shd w:val="clear" w:color="auto" w:fill="FFFFFF"/>
            <w:tcBorders>
              <w:left w:val="single" w:sz="4"/>
              <w:top w:val="single" w:sz="4"/>
            </w:tcBorders>
            <w:vAlign w:val="center"/>
          </w:tcPr>
          <w:p>
            <w:pPr>
              <w:pStyle w:val="Style3"/>
              <w:framePr w:w="9648"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19"/>
              </w:rPr>
              <w:t>2</w:t>
            </w:r>
          </w:p>
        </w:tc>
        <w:tc>
          <w:tcPr>
            <w:shd w:val="clear" w:color="auto" w:fill="FFFFFF"/>
            <w:tcBorders>
              <w:left w:val="single" w:sz="4"/>
            </w:tcBorders>
            <w:vAlign w:val="top"/>
          </w:tcPr>
          <w:p>
            <w:pPr>
              <w:framePr w:w="9648" w:wrap="notBeside" w:vAnchor="text" w:hAnchor="text" w:xAlign="center" w:y="1"/>
              <w:widowControl w:val="0"/>
              <w:rPr>
                <w:sz w:val="10"/>
                <w:szCs w:val="10"/>
              </w:rPr>
            </w:pPr>
          </w:p>
        </w:tc>
        <w:tc>
          <w:tcPr>
            <w:shd w:val="clear" w:color="auto" w:fill="FFFFFF"/>
            <w:tcBorders>
              <w:left w:val="single" w:sz="4"/>
            </w:tcBorders>
            <w:vAlign w:val="top"/>
          </w:tcPr>
          <w:p>
            <w:pPr>
              <w:framePr w:w="9648" w:wrap="notBeside" w:vAnchor="text" w:hAnchor="text" w:xAlign="center" w:y="1"/>
              <w:widowControl w:val="0"/>
              <w:rPr>
                <w:sz w:val="10"/>
                <w:szCs w:val="10"/>
              </w:rPr>
            </w:pPr>
          </w:p>
        </w:tc>
        <w:tc>
          <w:tcPr>
            <w:shd w:val="clear" w:color="auto" w:fill="FFFFFF"/>
            <w:tcBorders>
              <w:left w:val="single" w:sz="4"/>
            </w:tcBorders>
            <w:vAlign w:val="top"/>
          </w:tcPr>
          <w:p>
            <w:pPr>
              <w:framePr w:w="9648"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3"/>
              <w:framePr w:w="964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19"/>
              </w:rPr>
              <w:t>Колесная формула</w:t>
            </w:r>
          </w:p>
        </w:tc>
        <w:tc>
          <w:tcPr>
            <w:shd w:val="clear" w:color="auto" w:fill="FFFFFF"/>
            <w:tcBorders>
              <w:left w:val="single" w:sz="4"/>
              <w:top w:val="single" w:sz="4"/>
            </w:tcBorders>
            <w:vAlign w:val="top"/>
          </w:tcPr>
          <w:p>
            <w:pPr>
              <w:pStyle w:val="Style3"/>
              <w:framePr w:w="964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19"/>
                <w:lang w:val="en-US" w:eastAsia="en-US" w:bidi="en-US"/>
              </w:rPr>
              <w:t>4x2</w:t>
            </w:r>
          </w:p>
        </w:tc>
        <w:tc>
          <w:tcPr>
            <w:shd w:val="clear" w:color="auto" w:fill="FFFFFF"/>
            <w:tcBorders>
              <w:left w:val="single" w:sz="4"/>
              <w:right w:val="single" w:sz="4"/>
            </w:tcBorders>
            <w:vAlign w:val="top"/>
          </w:tcPr>
          <w:p>
            <w:pPr>
              <w:framePr w:w="9648" w:wrap="notBeside" w:vAnchor="text" w:hAnchor="text" w:xAlign="center" w:y="1"/>
              <w:widowControl w:val="0"/>
              <w:rPr>
                <w:sz w:val="10"/>
                <w:szCs w:val="10"/>
              </w:rPr>
            </w:pPr>
          </w:p>
        </w:tc>
      </w:tr>
      <w:tr>
        <w:trPr>
          <w:trHeight w:val="926" w:hRule="exact"/>
        </w:trPr>
        <w:tc>
          <w:tcPr>
            <w:shd w:val="clear" w:color="auto" w:fill="FFFFFF"/>
            <w:tcBorders>
              <w:left w:val="single" w:sz="4"/>
              <w:top w:val="single" w:sz="4"/>
            </w:tcBorders>
            <w:vAlign w:val="top"/>
          </w:tcPr>
          <w:p>
            <w:pPr>
              <w:pStyle w:val="Style3"/>
              <w:framePr w:w="9648"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19"/>
              </w:rPr>
              <w:t>3</w:t>
            </w:r>
          </w:p>
        </w:tc>
        <w:tc>
          <w:tcPr>
            <w:shd w:val="clear" w:color="auto" w:fill="FFFFFF"/>
            <w:tcBorders>
              <w:left w:val="single" w:sz="4"/>
            </w:tcBorders>
            <w:vAlign w:val="top"/>
          </w:tcPr>
          <w:p>
            <w:pPr>
              <w:framePr w:w="9648" w:wrap="notBeside" w:vAnchor="text" w:hAnchor="text" w:xAlign="center" w:y="1"/>
              <w:widowControl w:val="0"/>
              <w:rPr>
                <w:sz w:val="10"/>
                <w:szCs w:val="10"/>
              </w:rPr>
            </w:pPr>
          </w:p>
        </w:tc>
        <w:tc>
          <w:tcPr>
            <w:shd w:val="clear" w:color="auto" w:fill="FFFFFF"/>
            <w:tcBorders>
              <w:left w:val="single" w:sz="4"/>
            </w:tcBorders>
            <w:vAlign w:val="top"/>
          </w:tcPr>
          <w:p>
            <w:pPr>
              <w:framePr w:w="9648" w:wrap="notBeside" w:vAnchor="text" w:hAnchor="text" w:xAlign="center" w:y="1"/>
              <w:widowControl w:val="0"/>
              <w:rPr>
                <w:sz w:val="10"/>
                <w:szCs w:val="10"/>
              </w:rPr>
            </w:pPr>
          </w:p>
        </w:tc>
        <w:tc>
          <w:tcPr>
            <w:shd w:val="clear" w:color="auto" w:fill="FFFFFF"/>
            <w:tcBorders>
              <w:left w:val="single" w:sz="4"/>
            </w:tcBorders>
            <w:vAlign w:val="top"/>
          </w:tcPr>
          <w:p>
            <w:pPr>
              <w:framePr w:w="9648"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3"/>
              <w:framePr w:w="9648"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19"/>
              </w:rPr>
              <w:t>Номинальная мощность двигателя, л. с.</w:t>
            </w:r>
          </w:p>
        </w:tc>
        <w:tc>
          <w:tcPr>
            <w:shd w:val="clear" w:color="auto" w:fill="FFFFFF"/>
            <w:tcBorders>
              <w:left w:val="single" w:sz="4"/>
              <w:top w:val="single" w:sz="4"/>
            </w:tcBorders>
            <w:vAlign w:val="top"/>
          </w:tcPr>
          <w:p>
            <w:pPr>
              <w:pStyle w:val="Style3"/>
              <w:framePr w:w="964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9"/>
              </w:rPr>
              <w:t>&gt; 150.0 и &lt; 200.0</w:t>
            </w:r>
          </w:p>
        </w:tc>
        <w:tc>
          <w:tcPr>
            <w:shd w:val="clear" w:color="auto" w:fill="FFFFFF"/>
            <w:tcBorders>
              <w:left w:val="single" w:sz="4"/>
              <w:right w:val="single" w:sz="4"/>
            </w:tcBorders>
            <w:vAlign w:val="top"/>
          </w:tcPr>
          <w:p>
            <w:pPr>
              <w:framePr w:w="9648" w:wrap="notBeside" w:vAnchor="text" w:hAnchor="text" w:xAlign="center" w:y="1"/>
              <w:widowControl w:val="0"/>
              <w:rPr>
                <w:sz w:val="10"/>
                <w:szCs w:val="10"/>
              </w:rPr>
            </w:pPr>
          </w:p>
        </w:tc>
      </w:tr>
      <w:tr>
        <w:trPr>
          <w:trHeight w:val="931" w:hRule="exact"/>
        </w:trPr>
        <w:tc>
          <w:tcPr>
            <w:shd w:val="clear" w:color="auto" w:fill="FFFFFF"/>
            <w:tcBorders>
              <w:left w:val="single" w:sz="4"/>
              <w:top w:val="single" w:sz="4"/>
            </w:tcBorders>
            <w:vAlign w:val="top"/>
          </w:tcPr>
          <w:p>
            <w:pPr>
              <w:pStyle w:val="Style3"/>
              <w:framePr w:w="9648"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19"/>
              </w:rPr>
              <w:t>4</w:t>
            </w:r>
          </w:p>
        </w:tc>
        <w:tc>
          <w:tcPr>
            <w:shd w:val="clear" w:color="auto" w:fill="FFFFFF"/>
            <w:tcBorders>
              <w:left w:val="single" w:sz="4"/>
            </w:tcBorders>
            <w:vAlign w:val="top"/>
          </w:tcPr>
          <w:p>
            <w:pPr>
              <w:framePr w:w="9648" w:wrap="notBeside" w:vAnchor="text" w:hAnchor="text" w:xAlign="center" w:y="1"/>
              <w:widowControl w:val="0"/>
              <w:rPr>
                <w:sz w:val="10"/>
                <w:szCs w:val="10"/>
              </w:rPr>
            </w:pPr>
          </w:p>
        </w:tc>
        <w:tc>
          <w:tcPr>
            <w:shd w:val="clear" w:color="auto" w:fill="FFFFFF"/>
            <w:tcBorders>
              <w:left w:val="single" w:sz="4"/>
            </w:tcBorders>
            <w:vAlign w:val="top"/>
          </w:tcPr>
          <w:p>
            <w:pPr>
              <w:framePr w:w="9648" w:wrap="notBeside" w:vAnchor="text" w:hAnchor="text" w:xAlign="center" w:y="1"/>
              <w:widowControl w:val="0"/>
              <w:rPr>
                <w:sz w:val="10"/>
                <w:szCs w:val="10"/>
              </w:rPr>
            </w:pPr>
          </w:p>
        </w:tc>
        <w:tc>
          <w:tcPr>
            <w:shd w:val="clear" w:color="auto" w:fill="FFFFFF"/>
            <w:tcBorders>
              <w:left w:val="single" w:sz="4"/>
            </w:tcBorders>
            <w:vAlign w:val="top"/>
          </w:tcPr>
          <w:p>
            <w:pPr>
              <w:framePr w:w="9648"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3"/>
              <w:framePr w:w="9648" w:wrap="notBeside" w:vAnchor="text" w:hAnchor="text" w:xAlign="center" w:y="1"/>
              <w:widowControl w:val="0"/>
              <w:keepNext w:val="0"/>
              <w:keepLines w:val="0"/>
              <w:shd w:val="clear" w:color="auto" w:fill="auto"/>
              <w:bidi w:val="0"/>
              <w:jc w:val="left"/>
              <w:spacing w:before="0" w:after="0" w:line="230" w:lineRule="exact"/>
              <w:ind w:left="260" w:right="0" w:firstLine="0"/>
            </w:pPr>
            <w:r>
              <w:rPr>
                <w:rStyle w:val="CharStyle19"/>
              </w:rPr>
              <w:t>Объем</w:t>
            </w:r>
          </w:p>
          <w:p>
            <w:pPr>
              <w:pStyle w:val="Style3"/>
              <w:framePr w:w="9648" w:wrap="notBeside" w:vAnchor="text" w:hAnchor="text" w:xAlign="center" w:y="1"/>
              <w:widowControl w:val="0"/>
              <w:keepNext w:val="0"/>
              <w:keepLines w:val="0"/>
              <w:shd w:val="clear" w:color="auto" w:fill="auto"/>
              <w:bidi w:val="0"/>
              <w:jc w:val="left"/>
              <w:spacing w:before="0" w:after="0" w:line="230" w:lineRule="exact"/>
              <w:ind w:left="260" w:right="0" w:firstLine="0"/>
            </w:pPr>
            <w:r>
              <w:rPr>
                <w:rStyle w:val="CharStyle19"/>
              </w:rPr>
              <w:t>цистерны,</w:t>
            </w:r>
          </w:p>
          <w:p>
            <w:pPr>
              <w:pStyle w:val="Style3"/>
              <w:framePr w:w="9648" w:wrap="notBeside" w:vAnchor="text" w:hAnchor="text" w:xAlign="center" w:y="1"/>
              <w:widowControl w:val="0"/>
              <w:keepNext w:val="0"/>
              <w:keepLines w:val="0"/>
              <w:shd w:val="clear" w:color="auto" w:fill="auto"/>
              <w:bidi w:val="0"/>
              <w:jc w:val="left"/>
              <w:spacing w:before="0" w:after="0" w:line="230" w:lineRule="exact"/>
              <w:ind w:left="260" w:right="0" w:firstLine="0"/>
            </w:pPr>
            <w:r>
              <w:rPr>
                <w:rStyle w:val="CharStyle19"/>
              </w:rPr>
              <w:t>куб.м.</w:t>
            </w:r>
          </w:p>
        </w:tc>
        <w:tc>
          <w:tcPr>
            <w:shd w:val="clear" w:color="auto" w:fill="FFFFFF"/>
            <w:tcBorders>
              <w:left w:val="single" w:sz="4"/>
              <w:top w:val="single" w:sz="4"/>
            </w:tcBorders>
            <w:vAlign w:val="top"/>
          </w:tcPr>
          <w:p>
            <w:pPr>
              <w:pStyle w:val="Style3"/>
              <w:framePr w:w="964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19"/>
              </w:rPr>
              <w:t>&gt; 4 и &lt; 6</w:t>
            </w:r>
          </w:p>
        </w:tc>
        <w:tc>
          <w:tcPr>
            <w:shd w:val="clear" w:color="auto" w:fill="FFFFFF"/>
            <w:tcBorders>
              <w:left w:val="single" w:sz="4"/>
              <w:right w:val="single" w:sz="4"/>
            </w:tcBorders>
            <w:vAlign w:val="top"/>
          </w:tcPr>
          <w:p>
            <w:pPr>
              <w:framePr w:w="9648" w:wrap="notBeside" w:vAnchor="text" w:hAnchor="text" w:xAlign="center" w:y="1"/>
              <w:widowControl w:val="0"/>
              <w:rPr>
                <w:sz w:val="10"/>
                <w:szCs w:val="10"/>
              </w:rPr>
            </w:pPr>
          </w:p>
        </w:tc>
      </w:tr>
      <w:tr>
        <w:trPr>
          <w:trHeight w:val="859" w:hRule="exact"/>
        </w:trPr>
        <w:tc>
          <w:tcPr>
            <w:shd w:val="clear" w:color="auto" w:fill="FFFFFF"/>
            <w:tcBorders>
              <w:left w:val="single" w:sz="4"/>
              <w:top w:val="single" w:sz="4"/>
            </w:tcBorders>
            <w:vAlign w:val="top"/>
          </w:tcPr>
          <w:p>
            <w:pPr>
              <w:pStyle w:val="Style3"/>
              <w:framePr w:w="9648"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19"/>
              </w:rPr>
              <w:t>5</w:t>
            </w:r>
          </w:p>
        </w:tc>
        <w:tc>
          <w:tcPr>
            <w:shd w:val="clear" w:color="auto" w:fill="FFFFFF"/>
            <w:tcBorders>
              <w:left w:val="single" w:sz="4"/>
            </w:tcBorders>
            <w:vAlign w:val="top"/>
          </w:tcPr>
          <w:p>
            <w:pPr>
              <w:framePr w:w="9648" w:wrap="notBeside" w:vAnchor="text" w:hAnchor="text" w:xAlign="center" w:y="1"/>
              <w:widowControl w:val="0"/>
              <w:rPr>
                <w:sz w:val="10"/>
                <w:szCs w:val="10"/>
              </w:rPr>
            </w:pPr>
          </w:p>
        </w:tc>
        <w:tc>
          <w:tcPr>
            <w:shd w:val="clear" w:color="auto" w:fill="FFFFFF"/>
            <w:tcBorders>
              <w:left w:val="single" w:sz="4"/>
            </w:tcBorders>
            <w:vAlign w:val="top"/>
          </w:tcPr>
          <w:p>
            <w:pPr>
              <w:framePr w:w="9648" w:wrap="notBeside" w:vAnchor="text" w:hAnchor="text" w:xAlign="center" w:y="1"/>
              <w:widowControl w:val="0"/>
              <w:rPr>
                <w:sz w:val="10"/>
                <w:szCs w:val="10"/>
              </w:rPr>
            </w:pPr>
          </w:p>
        </w:tc>
        <w:tc>
          <w:tcPr>
            <w:shd w:val="clear" w:color="auto" w:fill="FFFFFF"/>
            <w:tcBorders>
              <w:left w:val="single" w:sz="4"/>
            </w:tcBorders>
            <w:vAlign w:val="top"/>
          </w:tcPr>
          <w:p>
            <w:pPr>
              <w:framePr w:w="9648"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3"/>
              <w:framePr w:w="9648"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19"/>
              </w:rPr>
              <w:t>Тип базового шасси</w:t>
            </w:r>
          </w:p>
        </w:tc>
        <w:tc>
          <w:tcPr>
            <w:shd w:val="clear" w:color="auto" w:fill="FFFFFF"/>
            <w:tcBorders>
              <w:left w:val="single" w:sz="4"/>
              <w:top w:val="single" w:sz="4"/>
            </w:tcBorders>
            <w:vAlign w:val="top"/>
          </w:tcPr>
          <w:p>
            <w:pPr>
              <w:pStyle w:val="Style3"/>
              <w:framePr w:w="9648" w:wrap="notBeside" w:vAnchor="text" w:hAnchor="text" w:xAlign="center" w:y="1"/>
              <w:widowControl w:val="0"/>
              <w:keepNext w:val="0"/>
              <w:keepLines w:val="0"/>
              <w:shd w:val="clear" w:color="auto" w:fill="auto"/>
              <w:bidi w:val="0"/>
              <w:jc w:val="center"/>
              <w:spacing w:before="0" w:after="60" w:line="190" w:lineRule="exact"/>
              <w:ind w:left="0" w:right="0" w:firstLine="0"/>
            </w:pPr>
            <w:r>
              <w:rPr>
                <w:rStyle w:val="CharStyle19"/>
              </w:rPr>
              <w:t>Автотранспортное</w:t>
            </w:r>
          </w:p>
          <w:p>
            <w:pPr>
              <w:pStyle w:val="Style3"/>
              <w:framePr w:w="9648" w:wrap="notBeside" w:vAnchor="text" w:hAnchor="text" w:xAlign="center" w:y="1"/>
              <w:widowControl w:val="0"/>
              <w:keepNext w:val="0"/>
              <w:keepLines w:val="0"/>
              <w:shd w:val="clear" w:color="auto" w:fill="auto"/>
              <w:bidi w:val="0"/>
              <w:jc w:val="left"/>
              <w:spacing w:before="60" w:after="0" w:line="190" w:lineRule="exact"/>
              <w:ind w:left="120" w:right="0" w:firstLine="0"/>
            </w:pPr>
            <w:r>
              <w:rPr>
                <w:rStyle w:val="CharStyle19"/>
              </w:rPr>
              <w:t>средство</w:t>
            </w:r>
          </w:p>
        </w:tc>
        <w:tc>
          <w:tcPr>
            <w:shd w:val="clear" w:color="auto" w:fill="FFFFFF"/>
            <w:tcBorders>
              <w:left w:val="single" w:sz="4"/>
              <w:right w:val="single" w:sz="4"/>
            </w:tcBorders>
            <w:vAlign w:val="top"/>
          </w:tcPr>
          <w:p>
            <w:pPr>
              <w:framePr w:w="9648" w:wrap="notBeside" w:vAnchor="text" w:hAnchor="text" w:xAlign="center" w:y="1"/>
              <w:widowControl w:val="0"/>
              <w:rPr>
                <w:sz w:val="10"/>
                <w:szCs w:val="10"/>
              </w:rPr>
            </w:pPr>
          </w:p>
        </w:tc>
      </w:tr>
      <w:tr>
        <w:trPr>
          <w:trHeight w:val="408" w:hRule="exact"/>
        </w:trPr>
        <w:tc>
          <w:tcPr>
            <w:shd w:val="clear" w:color="auto" w:fill="FFFFFF"/>
            <w:tcBorders>
              <w:left w:val="single" w:sz="4"/>
              <w:top w:val="single" w:sz="4"/>
              <w:bottom w:val="single" w:sz="4"/>
            </w:tcBorders>
            <w:vAlign w:val="center"/>
          </w:tcPr>
          <w:p>
            <w:pPr>
              <w:pStyle w:val="Style3"/>
              <w:framePr w:w="9648"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19"/>
              </w:rPr>
              <w:t>6</w:t>
            </w:r>
          </w:p>
        </w:tc>
        <w:tc>
          <w:tcPr>
            <w:shd w:val="clear" w:color="auto" w:fill="FFFFFF"/>
            <w:tcBorders>
              <w:left w:val="single" w:sz="4"/>
              <w:bottom w:val="single" w:sz="4"/>
            </w:tcBorders>
            <w:vAlign w:val="top"/>
          </w:tcPr>
          <w:p>
            <w:pPr>
              <w:framePr w:w="9648"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9648"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9648"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pStyle w:val="Style3"/>
              <w:framePr w:w="9648" w:wrap="notBeside" w:vAnchor="text" w:hAnchor="text" w:xAlign="center" w:y="1"/>
              <w:widowControl w:val="0"/>
              <w:keepNext w:val="0"/>
              <w:keepLines w:val="0"/>
              <w:shd w:val="clear" w:color="auto" w:fill="auto"/>
              <w:bidi w:val="0"/>
              <w:spacing w:before="0" w:after="0" w:line="190" w:lineRule="exact"/>
              <w:ind w:left="0" w:right="0" w:firstLine="0"/>
            </w:pPr>
            <w:r>
              <w:rPr>
                <w:rStyle w:val="CharStyle19"/>
              </w:rPr>
              <w:t>Тип двигателя</w:t>
            </w:r>
          </w:p>
        </w:tc>
        <w:tc>
          <w:tcPr>
            <w:shd w:val="clear" w:color="auto" w:fill="FFFFFF"/>
            <w:tcBorders>
              <w:left w:val="single" w:sz="4"/>
              <w:top w:val="single" w:sz="4"/>
              <w:bottom w:val="single" w:sz="4"/>
            </w:tcBorders>
            <w:vAlign w:val="top"/>
          </w:tcPr>
          <w:p>
            <w:pPr>
              <w:pStyle w:val="Style3"/>
              <w:framePr w:w="9648"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19"/>
              </w:rPr>
              <w:t>Дизельный</w:t>
            </w:r>
          </w:p>
        </w:tc>
        <w:tc>
          <w:tcPr>
            <w:shd w:val="clear" w:color="auto" w:fill="FFFFFF"/>
            <w:tcBorders>
              <w:left w:val="single" w:sz="4"/>
              <w:right w:val="single" w:sz="4"/>
              <w:bottom w:val="single" w:sz="4"/>
            </w:tcBorders>
            <w:vAlign w:val="top"/>
          </w:tcPr>
          <w:p>
            <w:pPr>
              <w:framePr w:w="9648" w:wrap="notBeside" w:vAnchor="text" w:hAnchor="text" w:xAlign="center" w:y="1"/>
              <w:widowControl w:val="0"/>
              <w:rPr>
                <w:sz w:val="10"/>
                <w:szCs w:val="10"/>
              </w:rPr>
            </w:pPr>
          </w:p>
        </w:tc>
      </w:tr>
    </w:tbl>
    <w:p>
      <w:pPr>
        <w:widowControl w:val="0"/>
        <w:rPr>
          <w:sz w:val="2"/>
          <w:szCs w:val="2"/>
        </w:rPr>
      </w:pPr>
      <w:r>
        <w:br w:type="page"/>
      </w:r>
    </w:p>
    <w:tbl>
      <w:tblPr>
        <w:tblOverlap w:val="never"/>
        <w:tblLayout w:type="fixed"/>
        <w:jc w:val="center"/>
      </w:tblPr>
      <w:tblGrid>
        <w:gridCol w:w="1862"/>
        <w:gridCol w:w="1814"/>
      </w:tblGrid>
      <w:tr>
        <w:trPr>
          <w:trHeight w:val="245" w:hRule="exact"/>
        </w:trPr>
        <w:tc>
          <w:tcPr>
            <w:shd w:val="clear" w:color="auto" w:fill="FFFFFF"/>
            <w:tcBorders>
              <w:left w:val="single" w:sz="4"/>
              <w:top w:val="single" w:sz="4"/>
            </w:tcBorders>
            <w:vAlign w:val="top"/>
          </w:tcPr>
          <w:p>
            <w:pPr>
              <w:framePr w:w="3677" w:hSpace="161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3677" w:hSpace="1618" w:wrap="notBeside" w:vAnchor="text" w:hAnchor="text" w:xAlign="center" w:y="1"/>
              <w:widowControl w:val="0"/>
              <w:rPr>
                <w:sz w:val="10"/>
                <w:szCs w:val="10"/>
              </w:rPr>
            </w:pPr>
          </w:p>
        </w:tc>
      </w:tr>
      <w:tr>
        <w:trPr>
          <w:trHeight w:val="869" w:hRule="exact"/>
        </w:trPr>
        <w:tc>
          <w:tcPr>
            <w:shd w:val="clear" w:color="auto" w:fill="FFFFFF"/>
            <w:tcBorders>
              <w:left w:val="single" w:sz="4"/>
              <w:top w:val="single" w:sz="4"/>
              <w:bottom w:val="single" w:sz="4"/>
            </w:tcBorders>
            <w:vAlign w:val="top"/>
          </w:tcPr>
          <w:p>
            <w:pPr>
              <w:pStyle w:val="Style3"/>
              <w:framePr w:w="3677" w:hSpace="1618"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19"/>
              </w:rPr>
              <w:t>Тип машины</w:t>
            </w:r>
          </w:p>
        </w:tc>
        <w:tc>
          <w:tcPr>
            <w:shd w:val="clear" w:color="auto" w:fill="FFFFFF"/>
            <w:tcBorders>
              <w:left w:val="single" w:sz="4"/>
              <w:right w:val="single" w:sz="4"/>
              <w:top w:val="single" w:sz="4"/>
              <w:bottom w:val="single" w:sz="4"/>
            </w:tcBorders>
            <w:vAlign w:val="top"/>
          </w:tcPr>
          <w:p>
            <w:pPr>
              <w:pStyle w:val="Style3"/>
              <w:framePr w:w="3677" w:hSpace="1618" w:wrap="notBeside" w:vAnchor="text" w:hAnchor="text" w:xAlign="center" w:y="1"/>
              <w:widowControl w:val="0"/>
              <w:keepNext w:val="0"/>
              <w:keepLines w:val="0"/>
              <w:shd w:val="clear" w:color="auto" w:fill="auto"/>
              <w:bidi w:val="0"/>
              <w:jc w:val="left"/>
              <w:spacing w:before="0" w:after="60" w:line="190" w:lineRule="exact"/>
              <w:ind w:left="120" w:right="0" w:firstLine="0"/>
            </w:pPr>
            <w:r>
              <w:rPr>
                <w:rStyle w:val="CharStyle19"/>
              </w:rPr>
              <w:t>Ассенизационная</w:t>
            </w:r>
          </w:p>
          <w:p>
            <w:pPr>
              <w:pStyle w:val="Style3"/>
              <w:framePr w:w="3677" w:hSpace="1618" w:wrap="notBeside" w:vAnchor="text" w:hAnchor="text" w:xAlign="center" w:y="1"/>
              <w:widowControl w:val="0"/>
              <w:keepNext w:val="0"/>
              <w:keepLines w:val="0"/>
              <w:shd w:val="clear" w:color="auto" w:fill="auto"/>
              <w:bidi w:val="0"/>
              <w:jc w:val="left"/>
              <w:spacing w:before="60" w:after="0" w:line="190" w:lineRule="exact"/>
              <w:ind w:left="120" w:right="0" w:firstLine="0"/>
            </w:pPr>
            <w:r>
              <w:rPr>
                <w:rStyle w:val="CharStyle19"/>
              </w:rPr>
              <w:t>машина</w:t>
            </w:r>
          </w:p>
        </w:tc>
      </w:tr>
    </w:tbl>
    <w:p>
      <w:pPr>
        <w:widowControl w:val="0"/>
        <w:rPr>
          <w:sz w:val="2"/>
          <w:szCs w:val="2"/>
        </w:rPr>
      </w:pPr>
    </w:p>
    <w:p>
      <w:pPr>
        <w:pStyle w:val="Style3"/>
        <w:framePr w:h="180" w:wrap="around" w:hAnchor="margin" w:x="106" w:y="289"/>
        <w:widowControl w:val="0"/>
        <w:keepNext w:val="0"/>
        <w:keepLines w:val="0"/>
        <w:shd w:val="clear" w:color="auto" w:fill="auto"/>
        <w:bidi w:val="0"/>
        <w:jc w:val="left"/>
        <w:spacing w:before="0" w:after="0" w:line="180" w:lineRule="exact"/>
        <w:ind w:left="20" w:right="0" w:firstLine="0"/>
      </w:pPr>
      <w:r>
        <w:rPr>
          <w:rStyle w:val="CharStyle4"/>
          <w:spacing w:val="0"/>
        </w:rPr>
        <w:t>7</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При этом, для целей проведения указанной закупочной процедуры заказчиком выбран следующий код по ОКПД 2 -</w:t>
      </w:r>
      <w:r>
        <w:fldChar w:fldCharType="begin"/>
      </w:r>
      <w:r>
        <w:rPr>
          <w:color w:val="000000"/>
        </w:rPr>
        <w:instrText> HYPERLINK "https://zakupki.gov.ru/epz/ktru/ktruCard/ktru-description.html?itemId=81624&amp;backUrl=" </w:instrText>
      </w:r>
      <w:r>
        <w:fldChar w:fldCharType="separate"/>
      </w:r>
      <w:r>
        <w:rPr>
          <w:rStyle w:val="Hyperlink"/>
          <w:lang w:val="ru-RU" w:eastAsia="ru-RU" w:bidi="ru-RU"/>
          <w:w w:val="100"/>
          <w:spacing w:val="0"/>
          <w:position w:val="0"/>
        </w:rPr>
        <w:t xml:space="preserve"> 29.10.59.130,</w:t>
      </w:r>
      <w:r>
        <w:fldChar w:fldCharType="end"/>
      </w:r>
      <w:r>
        <w:rPr>
          <w:lang w:val="ru-RU" w:eastAsia="ru-RU" w:bidi="ru-RU"/>
          <w:w w:val="100"/>
          <w:spacing w:val="0"/>
          <w:color w:val="000000"/>
          <w:position w:val="0"/>
        </w:rPr>
        <w:t xml:space="preserve"> а именно КТРУ</w:t>
      </w:r>
      <w:r>
        <w:fldChar w:fldCharType="begin"/>
      </w:r>
      <w:r>
        <w:rPr>
          <w:color w:val="000000"/>
        </w:rPr>
        <w:instrText> HYPERLINK "https://zakupki.gov.ru/epz/ktru/ktruCard/ktru-description.html?itemId=81624&amp;backUrl=" </w:instrText>
      </w:r>
      <w:r>
        <w:fldChar w:fldCharType="separate"/>
      </w:r>
      <w:r>
        <w:rPr>
          <w:rStyle w:val="Hyperlink"/>
          <w:lang w:val="ru-RU" w:eastAsia="ru-RU" w:bidi="ru-RU"/>
          <w:w w:val="100"/>
          <w:spacing w:val="0"/>
          <w:position w:val="0"/>
        </w:rPr>
        <w:t xml:space="preserve"> 29.10.59.130-00000004 </w:t>
      </w:r>
      <w:r>
        <w:fldChar w:fldCharType="end"/>
      </w:r>
      <w:r>
        <w:rPr>
          <w:lang w:val="ru-RU" w:eastAsia="ru-RU" w:bidi="ru-RU"/>
          <w:w w:val="100"/>
          <w:spacing w:val="0"/>
          <w:color w:val="000000"/>
          <w:position w:val="0"/>
        </w:rPr>
        <w:t>- Средство транспортное для коммунального хозяйства и содержания дорог.</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Кроме того, исходя из структурированной формы извещения, следует, что в данной закупочной процедуре установлен запрет на допуск промышленных товаров, происходящих из иностранных государств, предусмотренный Постановлением Правительства РФ № 616.</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Согласно п. 4 Требований к составу заявки, являющихся приложением к извещению, участник закупки в составе своей заявки декларирует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22-27 и 29 перечня), а также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w:t>
      </w:r>
      <w:r>
        <w:rPr>
          <w:lang w:val="en-US" w:eastAsia="en-US" w:bidi="en-US"/>
          <w:w w:val="100"/>
          <w:spacing w:val="0"/>
          <w:color w:val="000000"/>
          <w:position w:val="0"/>
        </w:rPr>
        <w:t xml:space="preserve">N </w:t>
      </w:r>
      <w:r>
        <w:rPr>
          <w:lang w:val="ru-RU" w:eastAsia="ru-RU" w:bidi="ru-RU"/>
          <w:w w:val="100"/>
          <w:spacing w:val="0"/>
          <w:color w:val="000000"/>
          <w:position w:val="0"/>
        </w:rPr>
        <w:t>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21.06.2022г. состоялась процедура подведения итогов определения поставщика (подрядчика, исполнителя), по итогам которой был составлен Протокол № 0162300040422000023 от 21.06.2022г., подписанный присутствующими членами комиссии и размещенный на сайте единой информационной системы в сфере закупок 21.06.2022г.</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Согласно Протоколу № 0162300040422000023 от 21.06.2022г. победителем данной закупки был признан участник с идентификационным номером заявки № 112108494 (ООО «Спецмаш»).</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Исходя из информации, предоставленной на заседание Комиссии оператором электронной торговой площадки, данный участник в составе своей заявки указал следующий номер реестровой записи из реестра российской промышленной продукции - 2322\69\2021.</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В соответствии со сведениями Реестра промышленной продукции, произведенной на территории Российской Федерации </w:t>
      </w:r>
      <w:r>
        <w:rPr>
          <w:lang w:val="en-US" w:eastAsia="en-US" w:bidi="en-US"/>
          <w:w w:val="100"/>
          <w:spacing w:val="0"/>
          <w:color w:val="000000"/>
          <w:position w:val="0"/>
        </w:rPr>
        <w:t>(</w:t>
      </w:r>
      <w:r>
        <w:fldChar w:fldCharType="begin"/>
      </w:r>
      <w:r>
        <w:rPr>
          <w:color w:val="000000"/>
        </w:rPr>
        <w:instrText> HYPERLINK "https://zakupki-gov-ru.com/products/" </w:instrText>
      </w:r>
      <w:r>
        <w:fldChar w:fldCharType="separate"/>
      </w:r>
      <w:r>
        <w:rPr>
          <w:rStyle w:val="Hyperlink"/>
          <w:lang w:val="en-US" w:eastAsia="en-US" w:bidi="en-US"/>
          <w:w w:val="100"/>
          <w:spacing w:val="0"/>
          <w:position w:val="0"/>
        </w:rPr>
        <w:t>https://zakupki-gov-ru.com/products/</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указанный номер реестровой записи имеет следующий код по ОКПД 2 - 29.10.41.112.</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По мнению заявителя жалобы, победитель данной закупочной процедуры представил недостоверную информацию о соответствии поставляемого товара требованиям к поставляемому товару, поскольку код по ОКПД2 предлагаемого им к поставке товара отличается от того, который определен заказчиком в извещении.</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Изучив доводы жалобы, проанализировав имеющиеся доказательства, Комиссия пришла к выводу о том, что выписка на предлагаемый победителем товар из реестра российской промышленной продукции с указанием кода по ОКПД отличного от того, что содержится в извещении о проведении закупки, сама по себе не позволяет сделать вывод о несоответствии участника закупки требованиям, предусмотренным</w:t>
      </w:r>
      <w:r>
        <w:rPr>
          <w:lang w:val="ru-RU" w:eastAsia="ru-RU" w:bidi="ru-RU"/>
          <w:w w:val="100"/>
          <w:spacing w:val="0"/>
          <w:color w:val="000000"/>
          <w:position w:val="0"/>
        </w:rPr>
        <w:t xml:space="preserve"> Постановлением</w:t>
      </w:r>
      <w:r>
        <w:rPr>
          <w:lang w:val="ru-RU" w:eastAsia="ru-RU" w:bidi="ru-RU"/>
          <w:w w:val="100"/>
          <w:spacing w:val="0"/>
          <w:color w:val="000000"/>
          <w:position w:val="0"/>
        </w:rPr>
        <w:t xml:space="preserve"> Правительства РФ № 616.</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соответствии с</w:t>
      </w:r>
      <w:r>
        <w:rPr>
          <w:lang w:val="ru-RU" w:eastAsia="ru-RU" w:bidi="ru-RU"/>
          <w:w w:val="100"/>
          <w:spacing w:val="0"/>
          <w:color w:val="000000"/>
          <w:position w:val="0"/>
        </w:rPr>
        <w:t xml:space="preserve"> п. 2 </w:t>
      </w:r>
      <w:r>
        <w:rPr>
          <w:lang w:val="ru-RU" w:eastAsia="ru-RU" w:bidi="ru-RU"/>
          <w:w w:val="100"/>
          <w:spacing w:val="0"/>
          <w:color w:val="000000"/>
          <w:position w:val="0"/>
        </w:rPr>
        <w:t>Правил разработки, ведения, изменения и применения общероссийских классификаторов технико-экономической и социальной информации, утв. Постановлением Правительства РФ от 07.06.2019 № 733, под понятием "код" понимается уникальная последовательность символов, определенная в соответствии с методом кодирования, использование которой позволяет однозначно определить объекты, включенные в общероссийский классификатор.</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Таким образом, назначением кода по ОКПД2, включая его наименование, является идентификация объекта, включенного в классификатор, а не определение характеристик приобретаемого товара в разрезе описания объекта закупки в рамках законодательства о контрактной системе.</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Более того, ни в извещении о закупке, ни в проекте контракта не указано, что код по ОКПД2 является характеристикой приобретаемого товара, в соответствии с которой участник закупки должны сформировать предложение на участие в аукционе, а в последующем произвести поставку товара.</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При этом, в ходе заседания Комиссии представитель заказчика заявил, что предложенный победителем к поставке товар полностью удовлетворяет потребность заказчика в закупаемом товаре.</w:t>
      </w:r>
    </w:p>
    <w:p>
      <w:pPr>
        <w:pStyle w:val="Style3"/>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связи с изложенным, Комиссия не усматривает в действиях закупочной комиссии заказчика нарушений законодательства о контрактной системе.</w:t>
      </w:r>
    </w:p>
    <w:p>
      <w:pPr>
        <w:pStyle w:val="Style3"/>
        <w:widowControl w:val="0"/>
        <w:keepNext w:val="0"/>
        <w:keepLines w:val="0"/>
        <w:shd w:val="clear" w:color="auto" w:fill="auto"/>
        <w:bidi w:val="0"/>
        <w:spacing w:before="0" w:after="209" w:line="226" w:lineRule="exact"/>
        <w:ind w:left="20" w:right="20" w:firstLine="720"/>
      </w:pPr>
      <w:r>
        <w:rPr>
          <w:lang w:val="ru-RU" w:eastAsia="ru-RU" w:bidi="ru-RU"/>
          <w:w w:val="100"/>
          <w:spacing w:val="0"/>
          <w:color w:val="000000"/>
          <w:position w:val="0"/>
        </w:rPr>
        <w:t>На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w:t>
      </w:r>
    </w:p>
    <w:p>
      <w:pPr>
        <w:pStyle w:val="Style10"/>
        <w:widowControl w:val="0"/>
        <w:keepNext/>
        <w:keepLines/>
        <w:shd w:val="clear" w:color="auto" w:fill="auto"/>
        <w:bidi w:val="0"/>
        <w:spacing w:before="0" w:after="85" w:line="190" w:lineRule="exact"/>
        <w:ind w:left="0" w:right="0" w:firstLine="0"/>
      </w:pPr>
      <w:bookmarkStart w:id="2" w:name="bookmark2"/>
      <w:r>
        <w:rPr>
          <w:lang w:val="ru-RU" w:eastAsia="ru-RU" w:bidi="ru-RU"/>
          <w:w w:val="100"/>
          <w:spacing w:val="0"/>
          <w:color w:val="000000"/>
          <w:position w:val="0"/>
        </w:rPr>
        <w:t>Р Е Ш И Л А:</w:t>
      </w:r>
      <w:bookmarkEnd w:id="2"/>
    </w:p>
    <w:p>
      <w:pPr>
        <w:pStyle w:val="Style3"/>
        <w:numPr>
          <w:ilvl w:val="0"/>
          <w:numId w:val="5"/>
        </w:numPr>
        <w:tabs>
          <w:tab w:leader="none" w:pos="1402" w:val="left"/>
        </w:tabs>
        <w:widowControl w:val="0"/>
        <w:keepNext w:val="0"/>
        <w:keepLines w:val="0"/>
        <w:shd w:val="clear" w:color="auto" w:fill="auto"/>
        <w:bidi w:val="0"/>
        <w:spacing w:before="0" w:after="0" w:line="245" w:lineRule="exact"/>
        <w:ind w:left="20" w:right="0" w:firstLine="720"/>
      </w:pPr>
      <w:r>
        <w:rPr>
          <w:lang w:val="ru-RU" w:eastAsia="ru-RU" w:bidi="ru-RU"/>
          <w:w w:val="100"/>
          <w:spacing w:val="0"/>
          <w:color w:val="000000"/>
          <w:position w:val="0"/>
        </w:rPr>
        <w:t>Жалобу ООО «КОМПАНИЯ «КОММУНАЛ-АВТО» признать необоснованной.</w:t>
      </w:r>
    </w:p>
    <w:p>
      <w:pPr>
        <w:pStyle w:val="Style3"/>
        <w:numPr>
          <w:ilvl w:val="0"/>
          <w:numId w:val="5"/>
        </w:numPr>
        <w:tabs>
          <w:tab w:leader="none" w:pos="1402" w:val="left"/>
        </w:tabs>
        <w:widowControl w:val="0"/>
        <w:keepNext w:val="0"/>
        <w:keepLines w:val="0"/>
        <w:shd w:val="clear" w:color="auto" w:fill="auto"/>
        <w:bidi w:val="0"/>
        <w:spacing w:before="0" w:after="0" w:line="245" w:lineRule="exact"/>
        <w:ind w:left="20" w:right="20" w:firstLine="720"/>
      </w:pPr>
      <w:r>
        <w:rPr>
          <w:lang w:val="ru-RU" w:eastAsia="ru-RU" w:bidi="ru-RU"/>
          <w:w w:val="100"/>
          <w:spacing w:val="0"/>
          <w:color w:val="000000"/>
          <w:position w:val="0"/>
        </w:rPr>
        <w:t>В действиях заказчика в лице Администрации Махневского муниципального образования, его комиссии нарушений Закона о контрактной системе не выявлено.</w:t>
      </w:r>
      <w:r>
        <w:br w:type="page"/>
      </w:r>
    </w:p>
    <w:p>
      <w:pPr>
        <w:pStyle w:val="Style3"/>
        <w:numPr>
          <w:ilvl w:val="0"/>
          <w:numId w:val="5"/>
        </w:numPr>
        <w:tabs>
          <w:tab w:leader="none" w:pos="1421" w:val="left"/>
        </w:tabs>
        <w:widowControl w:val="0"/>
        <w:keepNext w:val="0"/>
        <w:keepLines w:val="0"/>
        <w:shd w:val="clear" w:color="auto" w:fill="auto"/>
        <w:bidi w:val="0"/>
        <w:jc w:val="left"/>
        <w:spacing w:before="0" w:after="364" w:line="245" w:lineRule="exact"/>
        <w:ind w:left="0" w:right="0" w:firstLine="720"/>
      </w:pPr>
      <w:r>
        <w:rPr>
          <w:lang w:val="ru-RU" w:eastAsia="ru-RU" w:bidi="ru-RU"/>
          <w:w w:val="100"/>
          <w:spacing w:val="0"/>
          <w:color w:val="000000"/>
          <w:position w:val="0"/>
        </w:rPr>
        <w:t>Заказчику, его комиссии предписание об устранении нарушений законодательства о контрактной системе не выдавать.</w:t>
      </w:r>
    </w:p>
    <w:p>
      <w:pPr>
        <w:pStyle w:val="Style3"/>
        <w:widowControl w:val="0"/>
        <w:keepNext w:val="0"/>
        <w:keepLines w:val="0"/>
        <w:shd w:val="clear" w:color="auto" w:fill="auto"/>
        <w:bidi w:val="0"/>
        <w:jc w:val="left"/>
        <w:spacing w:before="0" w:after="0" w:line="240" w:lineRule="exact"/>
        <w:ind w:left="0" w:right="0" w:firstLine="7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 *</w:t>
      </w:r>
    </w:p>
    <w:sectPr>
      <w:headerReference w:type="default" r:id="rId7"/>
      <w:titlePg/>
      <w:footnotePr>
        <w:pos w:val="pageBottom"/>
        <w:numFmt w:val="decimal"/>
        <w:numRestart w:val="continuous"/>
      </w:footnotePr>
      <w:type w:val="continuous"/>
      <w:pgSz w:w="11909" w:h="16838"/>
      <w:pgMar w:top="1326" w:left="1130" w:right="1121" w:bottom="96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3pt;margin-top:47.85pt;width:5.3pt;height:7.9pt;z-index:-188744064;mso-wrap-style:none;mso-wrap-distance-left:5.pt;mso-wrap-distance-right:5.pt;mso-position-horizontal-relative:page;mso-position-vertical-relative:page" wrapcoords="0 0" filled="f" stroked="f">
          <v:textbox style="mso-fit-shape-to-text:t" inset="0,0,0,0">
            <w:txbxContent>
              <w:p>
                <w:pPr>
                  <w:pStyle w:val="Style12"/>
                  <w:widowControl w:val="0"/>
                  <w:keepNext w:val="0"/>
                  <w:keepLines w:val="0"/>
                  <w:shd w:val="clear" w:color="auto" w:fill="auto"/>
                  <w:bidi w:val="0"/>
                  <w:jc w:val="left"/>
                  <w:spacing w:before="0" w:after="0" w:line="240" w:lineRule="auto"/>
                  <w:ind w:left="0" w:right="0" w:firstLine="0"/>
                </w:pPr>
                <w:fldSimple w:instr=" PAGE \* MERGEFORMAT ">
                  <w:r>
                    <w:rPr>
                      <w:rStyle w:val="CharStyle14"/>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18"/>
      <w:szCs w:val="18"/>
      <w:rFonts w:ascii="Times New Roman" w:eastAsia="Times New Roman" w:hAnsi="Times New Roman" w:cs="Times New Roman"/>
      <w:spacing w:val="-1"/>
    </w:rPr>
  </w:style>
  <w:style w:type="character" w:customStyle="1" w:styleId="CharStyle6">
    <w:name w:val="Заголовок №1_"/>
    <w:basedOn w:val="DefaultParagraphFont"/>
    <w:link w:val="Style5"/>
    <w:rPr>
      <w:b/>
      <w:bCs/>
      <w:i w:val="0"/>
      <w:iCs w:val="0"/>
      <w:u w:val="none"/>
      <w:strike w:val="0"/>
      <w:smallCaps w:val="0"/>
      <w:sz w:val="20"/>
      <w:szCs w:val="20"/>
      <w:rFonts w:ascii="Times New Roman" w:eastAsia="Times New Roman" w:hAnsi="Times New Roman" w:cs="Times New Roman"/>
    </w:rPr>
  </w:style>
  <w:style w:type="character" w:customStyle="1" w:styleId="CharStyle7">
    <w:name w:val="Заголовок №1 + 9,5 pt,Не полужирный"/>
    <w:basedOn w:val="CharStyle6"/>
    <w:rPr>
      <w:lang w:val="ru-RU" w:eastAsia="ru-RU" w:bidi="ru-RU"/>
      <w:b/>
      <w:bCs/>
      <w:sz w:val="19"/>
      <w:szCs w:val="19"/>
      <w:w w:val="100"/>
      <w:spacing w:val="0"/>
      <w:color w:val="000000"/>
      <w:position w:val="0"/>
    </w:rPr>
  </w:style>
  <w:style w:type="character" w:customStyle="1" w:styleId="CharStyle8">
    <w:name w:val="Заголовок №1 + 9,5 pt,Не полужирный"/>
    <w:basedOn w:val="CharStyle6"/>
    <w:rPr>
      <w:lang w:val="ru-RU" w:eastAsia="ru-RU" w:bidi="ru-RU"/>
      <w:b/>
      <w:bCs/>
      <w:sz w:val="19"/>
      <w:szCs w:val="19"/>
      <w:w w:val="100"/>
      <w:spacing w:val="0"/>
      <w:color w:val="000000"/>
      <w:position w:val="0"/>
    </w:rPr>
  </w:style>
  <w:style w:type="character" w:customStyle="1" w:styleId="CharStyle9">
    <w:name w:val="Основной текст_"/>
    <w:basedOn w:val="DefaultParagraphFont"/>
    <w:link w:val="Style3"/>
    <w:rPr>
      <w:b w:val="0"/>
      <w:bCs w:val="0"/>
      <w:i w:val="0"/>
      <w:iCs w:val="0"/>
      <w:u w:val="none"/>
      <w:strike w:val="0"/>
      <w:smallCaps w:val="0"/>
      <w:sz w:val="19"/>
      <w:szCs w:val="19"/>
      <w:rFonts w:ascii="Times New Roman" w:eastAsia="Times New Roman" w:hAnsi="Times New Roman" w:cs="Times New Roman"/>
    </w:rPr>
  </w:style>
  <w:style w:type="character" w:customStyle="1" w:styleId="CharStyle11">
    <w:name w:val="Заголовок №1 (2)_"/>
    <w:basedOn w:val="DefaultParagraphFont"/>
    <w:link w:val="Style10"/>
    <w:rPr>
      <w:b w:val="0"/>
      <w:bCs w:val="0"/>
      <w:i w:val="0"/>
      <w:iCs w:val="0"/>
      <w:u w:val="none"/>
      <w:strike w:val="0"/>
      <w:smallCaps w:val="0"/>
      <w:sz w:val="19"/>
      <w:szCs w:val="19"/>
      <w:rFonts w:ascii="Times New Roman" w:eastAsia="Times New Roman" w:hAnsi="Times New Roman" w:cs="Times New Roman"/>
    </w:rPr>
  </w:style>
  <w:style w:type="character" w:customStyle="1" w:styleId="CharStyle13">
    <w:name w:val="Колонтитул_"/>
    <w:basedOn w:val="DefaultParagraphFont"/>
    <w:link w:val="Style12"/>
    <w:rPr>
      <w:b w:val="0"/>
      <w:bCs w:val="0"/>
      <w:i w:val="0"/>
      <w:iCs w:val="0"/>
      <w:u w:val="none"/>
      <w:strike w:val="0"/>
      <w:smallCaps w:val="0"/>
      <w:sz w:val="22"/>
      <w:szCs w:val="22"/>
      <w:rFonts w:ascii="Times New Roman" w:eastAsia="Times New Roman" w:hAnsi="Times New Roman" w:cs="Times New Roman"/>
    </w:rPr>
  </w:style>
  <w:style w:type="character" w:customStyle="1" w:styleId="CharStyle14">
    <w:name w:val="Колонтитул"/>
    <w:basedOn w:val="CharStyle13"/>
    <w:rPr>
      <w:lang w:val="ru-RU" w:eastAsia="ru-RU" w:bidi="ru-RU"/>
      <w:w w:val="100"/>
      <w:spacing w:val="0"/>
      <w:color w:val="000000"/>
      <w:position w:val="0"/>
    </w:rPr>
  </w:style>
  <w:style w:type="character" w:customStyle="1" w:styleId="CharStyle15">
    <w:name w:val="Основной текст + Курсив"/>
    <w:basedOn w:val="CharStyle9"/>
    <w:rPr>
      <w:lang w:val="ru-RU" w:eastAsia="ru-RU" w:bidi="ru-RU"/>
      <w:i/>
      <w:iCs/>
      <w:w w:val="100"/>
      <w:spacing w:val="0"/>
      <w:color w:val="000000"/>
      <w:position w:val="0"/>
    </w:rPr>
  </w:style>
  <w:style w:type="character" w:customStyle="1" w:styleId="CharStyle17">
    <w:name w:val="Подпись к таблице_"/>
    <w:basedOn w:val="DefaultParagraphFont"/>
    <w:link w:val="Style16"/>
    <w:rPr>
      <w:b w:val="0"/>
      <w:bCs w:val="0"/>
      <w:i w:val="0"/>
      <w:iCs w:val="0"/>
      <w:u w:val="none"/>
      <w:strike w:val="0"/>
      <w:smallCaps w:val="0"/>
      <w:sz w:val="19"/>
      <w:szCs w:val="19"/>
      <w:rFonts w:ascii="Times New Roman" w:eastAsia="Times New Roman" w:hAnsi="Times New Roman" w:cs="Times New Roman"/>
    </w:rPr>
  </w:style>
  <w:style w:type="character" w:customStyle="1" w:styleId="CharStyle18">
    <w:name w:val="Подпись к таблице"/>
    <w:basedOn w:val="CharStyle17"/>
    <w:rPr>
      <w:lang w:val="ru-RU" w:eastAsia="ru-RU" w:bidi="ru-RU"/>
      <w:u w:val="single"/>
      <w:w w:val="100"/>
      <w:spacing w:val="0"/>
      <w:color w:val="000000"/>
      <w:position w:val="0"/>
    </w:rPr>
  </w:style>
  <w:style w:type="character" w:customStyle="1" w:styleId="CharStyle19">
    <w:name w:val="Основной текст"/>
    <w:basedOn w:val="CharStyle9"/>
    <w:rPr>
      <w:lang w:val="ru-RU" w:eastAsia="ru-RU" w:bidi="ru-RU"/>
      <w:w w:val="100"/>
      <w:spacing w:val="0"/>
      <w:color w:val="000000"/>
      <w:position w:val="0"/>
    </w:rPr>
  </w:style>
  <w:style w:type="paragraph" w:customStyle="1" w:styleId="Style3">
    <w:name w:val="Основной текст"/>
    <w:basedOn w:val="Normal"/>
    <w:link w:val="CharStyle9"/>
    <w:pPr>
      <w:widowControl w:val="0"/>
      <w:shd w:val="clear" w:color="auto" w:fill="FFFFFF"/>
      <w:jc w:val="both"/>
      <w:spacing w:before="180" w:after="24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5">
    <w:name w:val="Заголовок №1"/>
    <w:basedOn w:val="Normal"/>
    <w:link w:val="CharStyle6"/>
    <w:pPr>
      <w:widowControl w:val="0"/>
      <w:shd w:val="clear" w:color="auto" w:fill="FFFFFF"/>
      <w:jc w:val="center"/>
      <w:outlineLvl w:val="0"/>
      <w:spacing w:before="60" w:after="180" w:line="274" w:lineRule="exact"/>
    </w:pPr>
    <w:rPr>
      <w:b/>
      <w:bCs/>
      <w:i w:val="0"/>
      <w:iCs w:val="0"/>
      <w:u w:val="none"/>
      <w:strike w:val="0"/>
      <w:smallCaps w:val="0"/>
      <w:sz w:val="20"/>
      <w:szCs w:val="20"/>
      <w:rFonts w:ascii="Times New Roman" w:eastAsia="Times New Roman" w:hAnsi="Times New Roman" w:cs="Times New Roman"/>
    </w:rPr>
  </w:style>
  <w:style w:type="paragraph" w:customStyle="1" w:styleId="Style10">
    <w:name w:val="Заголовок №1 (2)"/>
    <w:basedOn w:val="Normal"/>
    <w:link w:val="CharStyle11"/>
    <w:pPr>
      <w:widowControl w:val="0"/>
      <w:shd w:val="clear" w:color="auto" w:fill="FFFFFF"/>
      <w:jc w:val="center"/>
      <w:outlineLvl w:val="0"/>
      <w:spacing w:before="180" w:after="24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2">
    <w:name w:val="Колонтитул"/>
    <w:basedOn w:val="Normal"/>
    <w:link w:val="CharStyle13"/>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6">
    <w:name w:val="Подпись к таблице"/>
    <w:basedOn w:val="Normal"/>
    <w:link w:val="CharStyle17"/>
    <w:pPr>
      <w:widowControl w:val="0"/>
      <w:shd w:val="clear" w:color="auto" w:fill="FFFFFF"/>
      <w:spacing w:line="226" w:lineRule="exact"/>
      <w:ind w:firstLine="720"/>
    </w:pPr>
    <w:rPr>
      <w:b w:val="0"/>
      <w:bCs w:val="0"/>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s>
</file>

<file path=docProps/core.xml><?xml version="1.0" encoding="utf-8"?>
<cp:coreProperties xmlns:cp="http://schemas.openxmlformats.org/package/2006/metadata/core-properties" xmlns:dc="http://purl.org/dc/elements/1.1/">
  <dc:title/>
  <dc:subject/>
  <dc:creator>Жукова Анастасия Сергеевна</dc:creator>
  <cp:keywords/>
</cp:coreProperties>
</file>