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075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0pt;height:54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78" w:after="7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56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УПРАВЛЕНИЕ Федеральной антимонопольной службы по Орловской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</w:t>
      </w:r>
      <w:r>
        <w:rPr>
          <w:rStyle w:val="CharStyle9"/>
        </w:rPr>
        <w:t xml:space="preserve">Салтыкова-Щедрина, 21, г. Орёл, ГСП, 302000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тел. (4862) 47-53-57, факс (4862) 76-44-60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to57@fas.gov.ru</w:t>
      </w:r>
      <w:r>
        <w:fldChar w:fldCharType="end"/>
      </w:r>
    </w:p>
    <w:p>
      <w:pPr>
        <w:pStyle w:val="Style10"/>
        <w:tabs>
          <w:tab w:leader="none" w:pos="3747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040" w:right="0" w:firstLine="0"/>
      </w:pPr>
      <w:r>
        <w:rPr>
          <w:rStyle w:val="CharStyle12"/>
        </w:rPr>
        <w:t>08,08.2022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№</w:t>
        <w:tab/>
      </w:r>
      <w:r>
        <w:rPr>
          <w:rStyle w:val="CharStyle12"/>
        </w:rPr>
        <w:t>3420/03</w:t>
      </w:r>
    </w:p>
    <w:p>
      <w:pPr>
        <w:pStyle w:val="Style13"/>
        <w:tabs>
          <w:tab w:leader="none" w:pos="2470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544" w:line="274" w:lineRule="exact"/>
        <w:ind w:left="0" w:right="20" w:firstLine="0"/>
      </w:pPr>
      <w:r>
        <w:rPr>
          <w:rStyle w:val="CharStyle12"/>
        </w:rPr>
        <w:t>Заявителю: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«Айти Групп Дистрибуция» 197374, г. Санкт-Петербург, ул. Оптиков, 4, корп. 3, стр. 1, помещ. 8-Н, офис 24, рабочее место 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"mailto:itgdistrib@gmail.com" </w:instrText>
      </w:r>
      <w:r>
        <w:fldChar w:fldCharType="separate"/>
      </w:r>
      <w:r>
        <w:rPr>
          <w:rStyle w:val="Hyperlink"/>
          <w:lang w:val="en-US" w:eastAsia="en-US" w:bidi="en-US"/>
        </w:rPr>
        <w:t>itgdistrib@gmail.com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0" w:line="269" w:lineRule="exact"/>
        <w:ind w:left="260" w:right="20" w:firstLine="0"/>
      </w:pPr>
      <w:r>
        <w:rPr>
          <w:rStyle w:val="CharStyle12"/>
        </w:rPr>
        <w:t>Заказчику: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Администрации г. Мценска Орловской области </w:t>
      </w:r>
      <w:r>
        <w:rPr>
          <w:rStyle w:val="CharStyle15"/>
        </w:rPr>
        <w:t>303030, Орловская область, г. Мценск,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536" w:line="269" w:lineRule="exact"/>
        <w:ind w:left="8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Ленина, 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12"/>
          <w:lang w:val="en-US" w:eastAsia="en-US" w:bidi="en-US"/>
        </w:rPr>
        <w:t>mce-econ201</w:t>
      </w:r>
      <w:r>
        <w:rPr>
          <w:rStyle w:val="CharStyle12"/>
        </w:rPr>
        <w:t>1 @,</w:t>
      </w:r>
      <w:r>
        <w:rPr>
          <w:rStyle w:val="CharStyle12"/>
          <w:lang w:val="en-US" w:eastAsia="en-US" w:bidi="en-US"/>
        </w:rPr>
        <w:t>vandex.ru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1700" w:right="20" w:firstLine="0"/>
        <w:sectPr>
          <w:headerReference w:type="even" r:id="rId7"/>
          <w:headerReference w:type="default" r:id="rId8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655" w:left="1390" w:right="1270" w:bottom="689" w:header="0" w:footer="3" w:gutter="0"/>
          <w:rtlGutter w:val="0"/>
          <w:cols w:num="2" w:space="720" w:equalWidth="0">
            <w:col w:w="4742" w:space="269"/>
            <w:col w:w="4238"/>
          </w:cols>
          <w:noEndnote/>
          <w:docGrid w:linePitch="360"/>
        </w:sectPr>
      </w:pPr>
      <w:r>
        <w:rPr>
          <w:rStyle w:val="CharStyle12"/>
        </w:rPr>
        <w:t>Оператору ЭП: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</w:rPr>
        <w:t>info@rts-tender.ru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499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0354300009022000003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298" w:line="302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 Е Ш Е Н И Е № 057/06/33-361/2022 о нарушении законодательства о закупках</w:t>
      </w:r>
    </w:p>
    <w:p>
      <w:pPr>
        <w:pStyle w:val="Style10"/>
        <w:tabs>
          <w:tab w:leader="none" w:pos="8626" w:val="center"/>
          <w:tab w:leader="none" w:pos="9332" w:val="right"/>
        </w:tabs>
        <w:widowControl w:val="0"/>
        <w:keepNext w:val="0"/>
        <w:keepLines w:val="0"/>
        <w:shd w:val="clear" w:color="auto" w:fill="auto"/>
        <w:bidi w:val="0"/>
        <w:spacing w:before="0" w:after="26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 августа 2022 года</w:t>
        <w:tab/>
        <w:t>г.</w:t>
        <w:tab/>
        <w:t>Орёл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Орловского У ФАС России по контролю закупок (далее - Комиссия) в составе: председателя Комиссии Бочкова С.А., заместителя руководителя - начальника отдела контроля закупок и антимонопольного контроля органов власти; членов Комиссии: Торшиной О.А., главного специалиста-эксперта отдела контроля закупок и антимонопольного контроля органов власти, Гончаровой Д. А., специалиста-эксперта отдела антимонопольного контроля товарных и финансовых рынков,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отсутствии представителя заявителя: ООО «Айти Групп Дистрибуция» (далее - Заявитель) извещенного надлежащим образом,</w:t>
      </w:r>
    </w:p>
    <w:p>
      <w:pPr>
        <w:pStyle w:val="Style10"/>
        <w:tabs>
          <w:tab w:leader="none" w:pos="5995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присутствии представителя заказчика:</w:t>
        <w:tab/>
        <w:t>администрации г. Мценска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Орловской области (далее - Заказчик) Алфимовой Т.А.,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346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с использованием сервиса видеоконференций </w:t>
      </w:r>
      <w:r>
        <w:rPr>
          <w:rStyle w:val="CharStyle16"/>
        </w:rPr>
        <w:t xml:space="preserve">TrueConf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«МД-Консалтинг» на действия Заказчика при разработке извещения о проведении электронного аукциона на поставку и монтаж оборудования для создания «умной» спортивной площадки на территории города Мценска Орловской области, извещение № 0354300009022000003 (далее -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Закон), и в результате осуществления внеплановой проверки в соответствии с пунктом 1 части 15 статьи 99 Закона, пунктом 3.31 Административного регламента Федеральной антимонопольной службы но исполнению государственной функции по рассмотрению жалоб на действия</w:t>
        <w:br w:type="page"/>
        <w:t>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утвержденного Приказом ФАС России от 19.11.2014 № 727/14 (далее - Административный регламент),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20" w:line="230" w:lineRule="exact"/>
        <w:ind w:left="3820" w:right="0" w:firstLine="0"/>
      </w:pPr>
      <w:r>
        <w:rPr>
          <w:rStyle w:val="CharStyle20"/>
        </w:rPr>
        <w:t>УСТАНОВИЛА: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Заявитель указал, что Заказчик разработал извещение о проведении Аукциона (далее - Извещение), не соответствующее требованиям Закона, а именно: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пункте 4 «Рулонное покрытие для беговых дорожек и вспомогательных зон (в комплекте с разметочной краской и клеем)» Технического задания Приложения № 4 к Извещению о проведении электронного аукциона (далее - Извещение) Заказчиком установлено неправомерное требование к характеристике «Ширина рулона, мм &gt;1600 &lt;1700»;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пункте 4.1 «Покрытие противоскользящее КТРУ: 22.19.72.000- 00000012» Технического задания Приложения № 4 к Извещению Заказчиком установлено дополнительное требование к характеристике товара «травмобезопасный бордюр», которое не предусмотрено ни КТРУ, ни иными нормативно-правовыми актами;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пункте 1 «Комплект искусственного покрытия, с высотой ворса не менее 20 мм, под размер поля 30 х 60 м, включающий 1100 ног. м соединительной ленты и 400 кг клея, с КТРУ 32.30.15.299-00000078» Технического задания Приложения № 4 к Извещению Заказчиком установлено дополнительное требование к характеристике товара «травмобезопасный бордюр», которое не предусмотрено ни КТРУ, ни иными нормативно-правовыми актами, а также Заказчиком в Извещении неправомерно использован КТРУ 32.30.15.299-00000077 «Покрытие футбольное искусственное»;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в пункте 5.2 «Плитка резиновая КТРУ: 22.19.72.000-00000009» установлена дополнительная характеристика к товару «Количество внутренних изъятий в одной плите, шт. &gt;100» не предусмотренная КТРУ;</w:t>
      </w:r>
    </w:p>
    <w:p>
      <w:pPr>
        <w:pStyle w:val="Style10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приведено неправомерное обоснование и расчет начальной (максимальной) цены контракта.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жалобу Заявителя считает необоснованной, полагает, что действия Заказчика не нарушают требований Закона.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жалобы Комиссия установила следующее.</w:t>
      </w:r>
    </w:p>
    <w:p>
      <w:pPr>
        <w:pStyle w:val="Style10"/>
        <w:numPr>
          <w:ilvl w:val="0"/>
          <w:numId w:val="3"/>
        </w:numPr>
        <w:tabs>
          <w:tab w:leader="none" w:pos="1034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извещение об осуществлении закупки (с учетом изменений) размещено в единой информационной системе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zakupki.gov.ru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- 15.07.2022;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способ определения поставщика (подрядчика, исполнителя) - электронный аукцион;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начальная (максимальная) цена контракта - 25 726 860,00 руб.;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окончания срока подачи заявок - 27.07.2022;</w:t>
      </w:r>
    </w:p>
    <w:p>
      <w:pPr>
        <w:pStyle w:val="Style10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дата подведения итогов определения поставщика (подрядчика, исполнителя) - 28.07.2022;</w:t>
      </w:r>
    </w:p>
    <w:p>
      <w:pPr>
        <w:pStyle w:val="Style10"/>
        <w:numPr>
          <w:ilvl w:val="0"/>
          <w:numId w:val="5"/>
        </w:numPr>
        <w:tabs>
          <w:tab w:leader="none" w:pos="1058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закупке было подано 2 (две) заявки, 1 заявка была отклонена, 1 - допущена к участию в Аукционе; победитель Аукциона - ООО «ТД ЭКОСТЕП» (предложенная цена - 23 025 539,70 рублей).</w:t>
      </w:r>
    </w:p>
    <w:p>
      <w:pPr>
        <w:pStyle w:val="Style1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Вышеуказанная закупка осуществлялась в рамках реализации федерального проекта «Бизнес-Спринт </w:t>
      </w:r>
      <w:r>
        <w:rPr>
          <w:rStyle w:val="CharStyle21"/>
        </w:rPr>
        <w:t>(Я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выбираю спорт)» национального проекта «Демография»; государственной программы Российской Федерации «Развитие физической культуры и спорта», утвержденной постановлением Правительства Российской Федерации 30.09.2021 № 1661 «Об утверждении государственной программы Российской Федерации «Развитие физической культуры и спорта» и о признании утратившими силу некоторых актов и отдельных положений некоторых актов Правительства Российской Федерации».</w:t>
      </w:r>
    </w:p>
    <w:p>
      <w:pPr>
        <w:pStyle w:val="Style10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 доводам, изложенным в жалобе.</w:t>
      </w:r>
    </w:p>
    <w:p>
      <w:pPr>
        <w:pStyle w:val="Style10"/>
        <w:numPr>
          <w:ilvl w:val="1"/>
          <w:numId w:val="3"/>
        </w:numPr>
        <w:tabs>
          <w:tab w:leader="none" w:pos="1226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 народ нь те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1 части 1 статьи 33 Закона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2 части 1 статьи 33 Заказчик в случаях, предусмотренных настоящим Федеральным законом, при описании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Закона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смысла содержания статьи 33 Закона следует, что заказчик вправе определить в Извещении и прикрепленных к нему документах такие требования к качеству, техническим и функциональным характеристикам товара, его комплектности, которые являются значимыми для заказчика, отвечают его потребности с учетом специфики его деятельности и обеспечивают эффективное использование бюджетных средств. Закон не обязывает заказчика при определении характеристик товара в документации устанавливать такие характеристики, которые соответствовали бы всем существующим типам, моделям, видам товара.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частями 5-6 статьи 23 Закона формирование и ведение в единой информационной системе каталога товаров, работ, услуг для обеспечения государственных и муниципальных нужд (далее - Каталог) обеспечиваются федеральным органом исполнительной власти по регулированию контрактной системы в сфере закупок.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0"/>
        <w:tabs>
          <w:tab w:leader="none" w:pos="5526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Указанные Порядок и Правила утверждены Постановлением Правительства Российской Федерации от 08.02.2017 №</w:t>
        <w:tab/>
        <w:t>145 «Об утверждении Правил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4 Правил следует, что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наименование товара, работы, услуги;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единицы измерения количества товара, объема выполняемой работы, оказываемой услуги (при наличии);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в) описание товара, работы, услуги (при наличии такого описания в позиции).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5 Правил определено,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№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6 Правил следует, что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  <w:sectPr>
          <w:type w:val="continuous"/>
          <w:pgSz w:w="11909" w:h="16838"/>
          <w:pgMar w:top="656" w:left="2069" w:right="461" w:bottom="14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пункту 7 Правил в случае осуществления закупки товара, работы, услуги, в отношении которых в каталоге отсутствуют соответствующие позиции, 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осуществляет описание товара, работы, услуги в соответствии с требованиями статьи 33 Федерального закона.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Объектом Аукциона является поставка и монтаж оборудования для создания «умной» спортивной площадки на территории города Мценска Орловской области, которая включает в себя, в том числе: стойки волейбольные, трибуны сборно</w:t>
        <w:softHyphen/>
        <w:t>разборные, покрытие противоскользящее, стойку баскетбольная игровая, ворота футбольные, покрытие футбольное искусственное, плитку резиновую и др.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пояснений представителя Заказчика следовало, что при осуществлении закупки Заказчик необходимо было приобрести в том числе, товар «Покрытие противоскользящее», в связи с чем при описании объекта закупки Заказчиком было применен КТРУ 22.19.72.000-00000012.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  <w:sectPr>
          <w:headerReference w:type="even" r:id="rId9"/>
          <w:headerReference w:type="default" r:id="rId10"/>
          <w:titlePg/>
          <w:pgSz w:w="11909" w:h="16838"/>
          <w:pgMar w:top="656" w:left="2069" w:right="461" w:bottom="14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Извещения и прикрепленных к нему документов Комиссией было установлено, что в Извещении в разделе «Информация об объекте закупки» указано, что описание объекта закупки осуществляется в том числе в соответствии с КТРУ 22.19.72.000-00000012 «Покрытие противоскользящее», а именно:</w:t>
      </w:r>
    </w:p>
    <w:p>
      <w:pPr>
        <w:pStyle w:val="Style13"/>
        <w:framePr w:w="5883" w:h="838" w:wrap="none" w:vAnchor="text" w:hAnchor="margin" w:x="1761" w:y="3"/>
        <w:tabs>
          <w:tab w:leader="none" w:pos="173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100" w:right="100" w:firstLine="1700"/>
      </w:pPr>
      <w:r>
        <w:rPr>
          <w:rStyle w:val="CharStyle23"/>
          <w:spacing w:val="0"/>
        </w:rPr>
        <w:t xml:space="preserve">Покрытие противоскользящее </w:t>
      </w:r>
      <w:r>
        <w:rPr>
          <w:rStyle w:val="CharStyle24"/>
          <w:spacing w:val="0"/>
        </w:rPr>
        <w:t>22.19.72.000-</w:t>
        <w:tab/>
      </w:r>
      <w:r>
        <w:rPr>
          <w:rStyle w:val="CharStyle22"/>
          <w:spacing w:val="0"/>
        </w:rPr>
        <w:t xml:space="preserve">Длина рулона 10000 </w:t>
      </w:r>
      <w:r>
        <w:rPr>
          <w:rStyle w:val="CharStyle24"/>
          <w:spacing w:val="0"/>
        </w:rPr>
        <w:t xml:space="preserve">и </w:t>
      </w:r>
      <w:r>
        <w:rPr>
          <w:rStyle w:val="CharStyle22"/>
          <w:spacing w:val="0"/>
        </w:rPr>
        <w:t xml:space="preserve">15000 </w:t>
      </w:r>
      <w:r>
        <w:rPr>
          <w:rStyle w:val="CharStyle24"/>
          <w:spacing w:val="0"/>
        </w:rPr>
        <w:t xml:space="preserve">мм </w:t>
      </w:r>
      <w:r>
        <w:rPr>
          <w:rStyle w:val="CharStyle22"/>
          <w:spacing w:val="0"/>
        </w:rPr>
        <w:t>. Толщина</w:t>
      </w:r>
    </w:p>
    <w:p>
      <w:pPr>
        <w:pStyle w:val="Style13"/>
        <w:framePr w:w="5883" w:h="838" w:wrap="none" w:vAnchor="text" w:hAnchor="margin" w:x="1761" w:y="3"/>
        <w:tabs>
          <w:tab w:leader="none" w:pos="1737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100" w:right="0" w:firstLine="0"/>
      </w:pPr>
      <w:r>
        <w:rPr>
          <w:rStyle w:val="CharStyle24"/>
          <w:spacing w:val="0"/>
        </w:rPr>
        <w:t>00000012</w:t>
        <w:tab/>
      </w:r>
      <w:r>
        <w:rPr>
          <w:rStyle w:val="CharStyle22"/>
          <w:spacing w:val="0"/>
        </w:rPr>
        <w:t xml:space="preserve">12 н 14 мм . Ширина </w:t>
      </w:r>
      <w:r>
        <w:rPr>
          <w:rStyle w:val="CharStyle25"/>
          <w:spacing w:val="0"/>
        </w:rPr>
        <w:t>&gt;</w:t>
      </w:r>
      <w:r>
        <w:rPr>
          <w:rStyle w:val="CharStyle22"/>
          <w:spacing w:val="0"/>
        </w:rPr>
        <w:t xml:space="preserve"> 1600 и • 1700 мм .</w:t>
      </w:r>
    </w:p>
    <w:p>
      <w:pPr>
        <w:pStyle w:val="Style26"/>
        <w:framePr w:w="3512" w:h="140" w:wrap="none" w:vAnchor="text" w:hAnchor="margin" w:x="3710" w:y="1554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НЛИМ1 НОВМ1И1 X А РА КТ 1 РИСТИк'И</w:t>
      </w:r>
    </w:p>
    <w:p>
      <w:pPr>
        <w:pStyle w:val="Style10"/>
        <w:framePr w:w="1798" w:h="229" w:wrap="none" w:vAnchor="text" w:hAnchor="margin" w:x="8126" w:y="598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8"/>
          <w:spacing w:val="0"/>
        </w:rPr>
        <w:t>Погонный метр</w:t>
      </w:r>
    </w:p>
    <w:p>
      <w:pPr>
        <w:pStyle w:val="Style10"/>
        <w:framePr w:w="848" w:h="220" w:wrap="none" w:vAnchor="text" w:hAnchor="margin" w:x="10449" w:y="603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8"/>
          <w:spacing w:val="0"/>
        </w:rPr>
        <w:t>900,00</w:t>
      </w:r>
    </w:p>
    <w:p>
      <w:pPr>
        <w:pStyle w:val="Style26"/>
        <w:framePr w:w="2926" w:h="140" w:wrap="none" w:vAnchor="text" w:hAnchor="margin" w:x="8006" w:y="1559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00" w:right="0" w:firstLine="0"/>
      </w:pPr>
      <w:r>
        <w:rPr>
          <w:lang w:val="ru-RU" w:eastAsia="ru-RU" w:bidi="ru-RU"/>
          <w:w w:val="100"/>
          <w:spacing w:val="10"/>
          <w:color w:val="000000"/>
          <w:position w:val="0"/>
        </w:rPr>
        <w:t>4</w:t>
      </w:r>
      <w:r>
        <w:rPr>
          <w:lang w:val="en-US" w:eastAsia="en-US" w:bidi="en-US"/>
          <w:w w:val="100"/>
          <w:spacing w:val="10"/>
          <w:color w:val="000000"/>
          <w:position w:val="0"/>
        </w:rPr>
        <w:t>1</w:t>
      </w: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1 Л Ч </w:t>
      </w:r>
      <w:r>
        <w:rPr>
          <w:lang w:val="en-US" w:eastAsia="en-US" w:bidi="en-US"/>
          <w:w w:val="100"/>
          <w:spacing w:val="1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10"/>
          <w:color w:val="000000"/>
          <w:position w:val="0"/>
        </w:rPr>
        <w:t xml:space="preserve">II И </w:t>
      </w:r>
      <w:r>
        <w:rPr>
          <w:lang w:val="en-US" w:eastAsia="en-US" w:bidi="en-US"/>
          <w:w w:val="100"/>
          <w:spacing w:val="10"/>
          <w:color w:val="000000"/>
          <w:position w:val="0"/>
        </w:rPr>
        <w:t xml:space="preserve">L </w:t>
      </w:r>
      <w:r>
        <w:rPr>
          <w:lang w:val="ru-RU" w:eastAsia="ru-RU" w:bidi="ru-RU"/>
          <w:w w:val="100"/>
          <w:spacing w:val="10"/>
          <w:color w:val="000000"/>
          <w:position w:val="0"/>
        </w:rPr>
        <w:t>X Л РА КТ К Р И С Г И К 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87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373" w:left="309" w:right="309" w:bottom="37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framePr w:w="1818" w:h="2555" w:wrap="none" w:vAnchor="text" w:hAnchor="margin" w:x="3695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749" w:lineRule="exact"/>
        <w:ind w:left="120" w:right="100" w:firstLine="0"/>
      </w:pPr>
      <w:r>
        <w:rPr>
          <w:rStyle w:val="CharStyle28"/>
          <w:spacing w:val="0"/>
        </w:rPr>
        <w:t>Длина рулона Толщина Ширина Форма выпуска</w:t>
      </w:r>
    </w:p>
    <w:p>
      <w:pPr>
        <w:pStyle w:val="Style10"/>
        <w:numPr>
          <w:ilvl w:val="0"/>
          <w:numId w:val="7"/>
        </w:numPr>
        <w:framePr w:w="2038" w:h="2552" w:wrap="none" w:vAnchor="text" w:hAnchor="margin" w:x="7996" w:y="3"/>
        <w:widowControl w:val="0"/>
        <w:keepNext w:val="0"/>
        <w:keepLines w:val="0"/>
        <w:shd w:val="clear" w:color="auto" w:fill="auto"/>
        <w:bidi w:val="0"/>
        <w:jc w:val="left"/>
        <w:spacing w:before="0" w:after="488" w:line="220" w:lineRule="exact"/>
        <w:ind w:left="100" w:right="0" w:firstLine="0"/>
      </w:pPr>
      <w:r>
        <w:rPr>
          <w:rStyle w:val="CharStyle28"/>
          <w:spacing w:val="0"/>
        </w:rPr>
        <w:t xml:space="preserve"> 10000 и &lt; 15000</w:t>
      </w:r>
    </w:p>
    <w:p>
      <w:pPr>
        <w:pStyle w:val="Style10"/>
        <w:numPr>
          <w:ilvl w:val="0"/>
          <w:numId w:val="7"/>
        </w:numPr>
        <w:framePr w:w="2038" w:h="2552" w:wrap="none" w:vAnchor="text" w:hAnchor="margin" w:x="7996" w:y="3"/>
        <w:widowControl w:val="0"/>
        <w:keepNext w:val="0"/>
        <w:keepLines w:val="0"/>
        <w:shd w:val="clear" w:color="auto" w:fill="auto"/>
        <w:bidi w:val="0"/>
        <w:jc w:val="left"/>
        <w:spacing w:before="0" w:after="82" w:line="220" w:lineRule="exact"/>
        <w:ind w:left="100" w:right="0" w:firstLine="0"/>
      </w:pPr>
      <w:r>
        <w:rPr>
          <w:rStyle w:val="CharStyle28"/>
          <w:spacing w:val="0"/>
        </w:rPr>
        <w:t xml:space="preserve"> </w:t>
      </w:r>
      <w:r>
        <w:rPr>
          <w:rStyle w:val="CharStyle29"/>
          <w:spacing w:val="60"/>
        </w:rPr>
        <w:t>12и&lt;</w:t>
      </w:r>
      <w:r>
        <w:rPr>
          <w:rStyle w:val="CharStyle28"/>
          <w:spacing w:val="0"/>
        </w:rPr>
        <w:t xml:space="preserve"> 14</w:t>
      </w:r>
    </w:p>
    <w:p>
      <w:pPr>
        <w:pStyle w:val="Style10"/>
        <w:numPr>
          <w:ilvl w:val="0"/>
          <w:numId w:val="7"/>
        </w:numPr>
        <w:framePr w:w="2038" w:h="2552" w:wrap="none" w:vAnchor="text" w:hAnchor="margin" w:x="799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734" w:lineRule="exact"/>
        <w:ind w:left="100" w:right="100" w:firstLine="0"/>
      </w:pPr>
      <w:r>
        <w:rPr>
          <w:rStyle w:val="CharStyle28"/>
          <w:spacing w:val="0"/>
        </w:rPr>
        <w:t xml:space="preserve"> 1600 и &lt; 1700 Рулон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45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373" w:left="309" w:right="309" w:bottom="373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2" w:line="293" w:lineRule="exact"/>
        <w:ind w:left="120" w:right="3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Приложения № 4 к Извещению, содержащего Техническое задание Комиссией было установлено, что Заказчиком приведено следующее описание закупаемого товара «Покрытие противоскользящее»:</w:t>
      </w:r>
    </w:p>
    <w:tbl>
      <w:tblPr>
        <w:tblOverlap w:val="never"/>
        <w:tblLayout w:type="fixed"/>
        <w:jc w:val="center"/>
      </w:tblPr>
      <w:tblGrid>
        <w:gridCol w:w="3350"/>
        <w:gridCol w:w="3586"/>
        <w:gridCol w:w="2842"/>
      </w:tblGrid>
      <w:tr>
        <w:trPr>
          <w:trHeight w:val="27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4.1 Покрытие противоскользящее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1"/>
              </w:rPr>
              <w:t>Характеристики КТРУ:</w:t>
            </w:r>
          </w:p>
        </w:tc>
      </w:tr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7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Форма выпуска покрытия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0"/>
              </w:rPr>
              <w:t>Рулон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КТРУ: 22.19.72.000-00000012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Толщина покрытия,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0"/>
              </w:rPr>
              <w:t>&gt;12 &lt;14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tcBorders>
              <w:left w:val="single" w:sz="4"/>
            </w:tcBorders>
            <w:vAlign w:val="top"/>
          </w:tcPr>
          <w:p>
            <w:pPr>
              <w:framePr w:w="97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Ширина рулона,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0"/>
              </w:rPr>
              <w:t>&gt;1600 &lt;1700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framePr w:w="977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Длина рулона,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77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00" w:right="0" w:firstLine="0"/>
            </w:pPr>
            <w:r>
              <w:rPr>
                <w:rStyle w:val="CharStyle30"/>
              </w:rPr>
              <w:t>&gt; 10 000 &lt;15 000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253" w:after="0" w:line="293" w:lineRule="exact"/>
        <w:ind w:left="120" w:right="3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КТРУ 22.19.72.000-00000012 «Покрытие противоскользящее» Комиссия установила, что указанное КТРУ содержит характеристику товара «Ширина, &gt; 1600 и &lt;1700 Миллиметр».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20" w:right="3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Комиссия не находит оснований считать неправомерными действия Заказчика по описанию объекта закупки.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жалобы признается необоснованным.</w:t>
      </w:r>
      <w:r>
        <w:br w:type="page"/>
      </w:r>
    </w:p>
    <w:p>
      <w:pPr>
        <w:pStyle w:val="Style10"/>
        <w:numPr>
          <w:ilvl w:val="1"/>
          <w:numId w:val="3"/>
        </w:numPr>
        <w:tabs>
          <w:tab w:leader="none" w:pos="1277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7 Закона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5 части 1 статьи 42 Закона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информацию,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20" w:firstLine="700"/>
        <w:sectPr>
          <w:type w:val="continuous"/>
          <w:pgSz w:w="11909" w:h="16838"/>
          <w:pgMar w:top="1256" w:left="1075" w:right="1046" w:bottom="99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в Техническом задании, прикрепленном к Извещению указано, что описание объекта закупки осуществляется, в том числе, в соответствии с КТРУ, а именно:</w:t>
      </w:r>
    </w:p>
    <w:p>
      <w:pPr>
        <w:pStyle w:val="Style33"/>
        <w:framePr w:w="2298" w:h="182" w:wrap="none" w:vAnchor="text" w:hAnchor="margin" w:x="4883" w:y="6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34"/>
          <w:i/>
          <w:iCs/>
          <w:spacing w:val="0"/>
        </w:rPr>
        <w:t>Характеристики КТРУ:</w:t>
      </w:r>
    </w:p>
    <w:p>
      <w:pPr>
        <w:pStyle w:val="Style13"/>
        <w:framePr w:w="2389" w:h="175" w:wrap="none" w:vAnchor="text" w:hAnchor="margin" w:x="2498" w:y="25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35"/>
          <w:spacing w:val="0"/>
        </w:rPr>
        <w:t>Форма выпуска покрытия</w:t>
      </w:r>
    </w:p>
    <w:p>
      <w:pPr>
        <w:pStyle w:val="Style13"/>
        <w:framePr w:w="704" w:h="174" w:wrap="none" w:vAnchor="text" w:hAnchor="margin" w:x="6189" w:y="254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Рулон</w:t>
      </w:r>
    </w:p>
    <w:p>
      <w:pPr>
        <w:pStyle w:val="Style13"/>
        <w:framePr w:w="2197" w:h="178" w:wrap="none" w:vAnchor="text" w:hAnchor="margin" w:x="2493" w:y="50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35"/>
          <w:spacing w:val="0"/>
        </w:rPr>
        <w:t>Толщина покрытия, мм</w:t>
      </w:r>
    </w:p>
    <w:p>
      <w:pPr>
        <w:pStyle w:val="Style13"/>
        <w:framePr w:w="872" w:h="178" w:wrap="none" w:vAnchor="text" w:hAnchor="margin" w:x="6175" w:y="50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&gt;12 &lt;14</w:t>
      </w:r>
    </w:p>
    <w:p>
      <w:pPr>
        <w:pStyle w:val="Style13"/>
        <w:framePr w:w="1899" w:h="182" w:wrap="none" w:vAnchor="text" w:hAnchor="margin" w:x="2498" w:y="75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Ширина рулона, мм</w:t>
      </w:r>
    </w:p>
    <w:p>
      <w:pPr>
        <w:pStyle w:val="Style13"/>
        <w:framePr w:w="1275" w:h="178" w:wrap="none" w:vAnchor="text" w:hAnchor="margin" w:x="6179" w:y="75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&gt;1600 &lt;1700</w:t>
      </w:r>
    </w:p>
    <w:p>
      <w:pPr>
        <w:pStyle w:val="Style13"/>
        <w:framePr w:w="1731" w:h="178" w:wrap="none" w:vAnchor="text" w:hAnchor="margin" w:x="2493" w:y="1009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35"/>
          <w:spacing w:val="0"/>
        </w:rPr>
        <w:t>Длина рулона, мм</w:t>
      </w:r>
    </w:p>
    <w:p>
      <w:pPr>
        <w:pStyle w:val="Style13"/>
        <w:framePr w:w="1626" w:h="170" w:wrap="none" w:vAnchor="text" w:hAnchor="margin" w:x="6179" w:y="1012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&gt; 10 000 &lt;15 000</w:t>
      </w:r>
    </w:p>
    <w:p>
      <w:pPr>
        <w:pStyle w:val="Style13"/>
        <w:framePr w:w="1928" w:h="1158" w:wrap="none" w:vAnchor="text" w:hAnchor="margin" w:x="247" w:y="3"/>
        <w:widowControl w:val="0"/>
        <w:keepNext w:val="0"/>
        <w:keepLines w:val="0"/>
        <w:shd w:val="clear" w:color="auto" w:fill="auto"/>
        <w:bidi w:val="0"/>
        <w:jc w:val="left"/>
        <w:spacing w:before="0" w:after="172" w:line="235" w:lineRule="exact"/>
        <w:ind w:left="120" w:right="140" w:firstLine="0"/>
      </w:pPr>
      <w:r>
        <w:rPr>
          <w:rStyle w:val="CharStyle22"/>
          <w:spacing w:val="0"/>
        </w:rPr>
        <w:t>4.1 Покрытие противоскользящее</w:t>
      </w:r>
    </w:p>
    <w:p>
      <w:pPr>
        <w:pStyle w:val="Style13"/>
        <w:framePr w:w="1928" w:h="1158" w:wrap="none" w:vAnchor="text" w:hAnchor="margin" w:x="247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120" w:right="140" w:firstLine="0"/>
      </w:pPr>
      <w:r>
        <w:rPr>
          <w:rStyle w:val="CharStyle22"/>
          <w:spacing w:val="0"/>
        </w:rPr>
        <w:t xml:space="preserve">КТРУ: 22.19.72.000- </w:t>
      </w:r>
      <w:r>
        <w:rPr>
          <w:rStyle w:val="CharStyle36"/>
          <w:spacing w:val="0"/>
        </w:rPr>
        <w:t>00000012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5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73" w:left="1046" w:right="1046" w:bottom="97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3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0" w:right="0" w:firstLine="0"/>
        <w:sectPr>
          <w:type w:val="continuous"/>
          <w:pgSz w:w="11909" w:h="16838"/>
          <w:pgMar w:top="905" w:left="5501" w:right="2991" w:bottom="65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Дополнительные характеристики *:</w:t>
      </w:r>
    </w:p>
    <w:p>
      <w:pPr>
        <w:widowControl w:val="0"/>
        <w:spacing w:line="17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framePr w:h="170" w:wrap="around" w:vAnchor="text" w:hAnchor="margin" w:x="5517" w:y="1453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22"/>
          <w:spacing w:val="0"/>
        </w:rPr>
        <w:t>Наличие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62" w:line="240" w:lineRule="exact"/>
        <w:ind w:left="20" w:right="0" w:firstLine="2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Трехслойное противоскользящее полиуретаново-каучуковое рулонное покрытие для беговых дорожек , состоящее из двухслойного базового рулонного покрытия с верхним шероховатым полиуретаново</w:t>
        <w:softHyphen/>
        <w:t xml:space="preserve">каучуковым слоем терракотового цвета и финишного бронирующего слоя терракотового цвета. В состав покрытия входят стыковочный и разметочный составы и </w:t>
      </w:r>
      <w:r>
        <w:rPr>
          <w:rStyle w:val="CharStyle38"/>
        </w:rPr>
        <w:t>травмобезопасный бордюр</w:t>
      </w:r>
      <w:r>
        <w:rPr>
          <w:rStyle w:val="CharStyle39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Предназначается для эксплуатации на открытом воздухе.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пояснений представителя Заказчика следовало, что при внесении Заказчиком 19.07.2022 изменений в Извещение Заказчиком была допущена техническая ошибка, «не удалено из пункта 4.1 Приложения № 4 к Извещению дополнительные характеристики слов: травмобезопасный бордюр».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представитель Заказчика в ходе рассмотрения дела пояснила, что установление в описании объекта закупки показателей, связанных с травмобезопасным бордюром, обусловлено положениями пункта 1.3 Перечня спортивно-технологического оборудования для совершенствования спортивной подготовки по хоккею, перечня спортивно-технологического оборудования для создания малых спортивных площадок, перечня спортивно-технологического оборудования для создания или модернизации физкультурно-оздоровительных комплексов открытого типа и (или) физкультурно-оздоровительных комплексов для центров развития внешкольного спорта, перечня спортивно-технологического</w:t>
        <w:br w:type="page"/>
        <w:t xml:space="preserve">оборудования для создания или модернизации футбольных полей с искусственным покрытием, утвержденного приказом Минспорта России от 27.12.2019 № 1134, согласно которому Перечень включает в себя искусственное покрытие зеленого цвета для устройства футбольного поля, высота ворса не менее 60 мм, включая полимерный дренажный модуль, нетканый материал и </w:t>
      </w:r>
      <w:r>
        <w:rPr>
          <w:rStyle w:val="CharStyle12"/>
        </w:rPr>
        <w:t>травмобезопасный бордюр.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вышеизложенным, в пункте 1 Приложения № 4 к Извещению при описании закупаемого товара «Комплект искусственного покрытия, с высотой ворса не менее 20 мм, под размер поля 30 х 60 м, включающий 1100 пог. м соединительной ленты и 400 кг клея» указана дополнительная характеристика в отношении травмобезопасного бордюра.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указание в описании объекта закупки по пункту 4.1 Приложения № 4 к Извещению «Рулонное покрытие для беговых дорожек и вспомогательных зон (в комплекте с разметочной краской и клеем)» неправомерно, поскольку оно относится к описанию объекта закупки, указанному в пункте 1 Приложения № 4 к Извещению «Комплект искусственного покрытия, с высотой ворса не менее 20 мм, под размер поля 30 х 60 м, включающий 1100 пог. м соединительной ленты и 400 кг клея».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 действиях Заказчика содержится нарушение пункта 1 части 1 статьи 33 Закона, выразившееся в указании противоречивой информации в прикрепленных к Извещению документах.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довод Заявителя находит свое подтверждение.</w:t>
      </w:r>
    </w:p>
    <w:p>
      <w:pPr>
        <w:pStyle w:val="Style10"/>
        <w:numPr>
          <w:ilvl w:val="1"/>
          <w:numId w:val="3"/>
        </w:numPr>
        <w:tabs>
          <w:tab w:leader="none" w:pos="1297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3 статьи 7 Закона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1 части 1 статьи 33 Закона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5 части 1 статьи 42 Закона следует,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информацию,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</w:t>
        <w:br w:type="page"/>
        <w:t>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0" w:firstLine="700"/>
        <w:sectPr>
          <w:type w:val="continuous"/>
          <w:pgSz w:w="11909" w:h="16838"/>
          <w:pgMar w:top="1276" w:left="999" w:right="999" w:bottom="1017" w:header="0" w:footer="3" w:gutter="523"/>
          <w:rtlGutter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пункта 1 Приложения № 4 к Извещению, содержащего Техническое задание Комиссией было установлено, что Заказчиком приведено следующее описание закупаемого товара «Комплект искусственного покрытия, с высотой ворса не менее 20 мм, под размер поля 30 х 60 м, включающий 1100 пог. м соединительной ленты и 400 кг клея»:</w:t>
      </w:r>
    </w:p>
    <w:tbl>
      <w:tblPr>
        <w:tblOverlap w:val="never"/>
        <w:tblLayout w:type="fixed"/>
        <w:jc w:val="center"/>
      </w:tblPr>
      <w:tblGrid>
        <w:gridCol w:w="4829"/>
        <w:gridCol w:w="2419"/>
      </w:tblGrid>
      <w:tr>
        <w:trPr>
          <w:trHeight w:val="52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30"/>
              </w:rPr>
              <w:t>Общая площадь покрытия футбольного искусственного, кв. 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&gt; 1800</w:t>
            </w:r>
          </w:p>
        </w:tc>
      </w:tr>
      <w:tr>
        <w:trPr>
          <w:trHeight w:val="317" w:hRule="exact"/>
        </w:trPr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1"/>
              </w:rPr>
              <w:t>Характеристики КТРУ:</w:t>
            </w:r>
          </w:p>
        </w:tc>
      </w:tr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Высота ворса, мм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&gt; 40 &lt;60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 xml:space="preserve">Линейная плотность волокна, </w:t>
            </w:r>
            <w:r>
              <w:rPr>
                <w:rStyle w:val="CharStyle30"/>
                <w:lang w:val="en-US" w:eastAsia="en-US" w:bidi="en-US"/>
              </w:rPr>
              <w:t>dtex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&gt; 12000</w:t>
            </w:r>
          </w:p>
        </w:tc>
      </w:tr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Наличие устойчивости к УФ лучам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Да</w:t>
            </w:r>
          </w:p>
        </w:tc>
      </w:tr>
      <w:tr>
        <w:trPr>
          <w:trHeight w:val="25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Тип волокна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Монофил аментное</w:t>
            </w:r>
          </w:p>
        </w:tc>
      </w:tr>
      <w:tr>
        <w:trPr>
          <w:trHeight w:val="25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Материал волокна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Полиэтилен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1"/>
              </w:rPr>
              <w:t>Дополнительные характеристики*:</w:t>
            </w:r>
          </w:p>
        </w:tc>
      </w:tr>
      <w:tr>
        <w:trPr>
          <w:trHeight w:val="147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0" w:lineRule="exact"/>
              <w:ind w:left="120" w:right="0" w:firstLine="0"/>
            </w:pPr>
            <w:r>
              <w:rPr>
                <w:rStyle w:val="CharStyle30"/>
              </w:rPr>
              <w:t>В состав покрытия входят искусственная трава, соединительная лента, стыковочный состав, засыпной материал, травмобезопасный бордюр, как неотъемлемые компоненты искусственного футбольного покрытия, без которых невозможна нормативная функциональная эксплуатация товара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724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Соответствие</w:t>
            </w:r>
          </w:p>
        </w:tc>
      </w:tr>
    </w:tbl>
    <w:p>
      <w:pPr>
        <w:pStyle w:val="Style13"/>
        <w:framePr w:w="2608" w:h="907" w:wrap="around" w:vAnchor="text" w:hAnchor="margin" w:x="-2831" w:y="30"/>
        <w:widowControl w:val="0"/>
        <w:keepNext w:val="0"/>
        <w:keepLines w:val="0"/>
        <w:shd w:val="clear" w:color="auto" w:fill="auto"/>
        <w:bidi w:val="0"/>
        <w:jc w:val="left"/>
        <w:spacing w:before="0" w:after="221" w:line="221" w:lineRule="exact"/>
        <w:ind w:left="0" w:right="100" w:firstLine="0"/>
      </w:pPr>
      <w:r>
        <w:rPr>
          <w:rStyle w:val="CharStyle22"/>
          <w:spacing w:val="0"/>
        </w:rPr>
        <w:t>Покрытие футбольное искусственное</w:t>
      </w:r>
    </w:p>
    <w:p>
      <w:pPr>
        <w:pStyle w:val="Style13"/>
        <w:framePr w:w="2608" w:h="907" w:wrap="around" w:vAnchor="text" w:hAnchor="margin" w:x="-2831" w:y="30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rStyle w:val="CharStyle22"/>
          <w:spacing w:val="0"/>
        </w:rPr>
        <w:t>КТРУ: 32.30.15.299-00000078</w: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04" w:left="3868" w:right="782" w:bottom="635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tabs>
          <w:tab w:leader="none" w:pos="5629" w:val="center"/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пояснений представителя Заказчика следует, что согласно пункту 1.3 Приложения № 4 к приказу Минспорта России от 27.12.2019 № 1134 «Об утверждении перечня спортивно-технологического оборудования для совершенствования спортивной подготовки по хоккею, перечня спортивно</w:t>
        <w:softHyphen/>
        <w:t>технологического оборудования для создания малых спортивных площадок, перечня спортивно-технологического</w:t>
        <w:tab/>
        <w:t>оборудования</w:t>
        <w:tab/>
        <w:t>для создания или</w:t>
      </w:r>
    </w:p>
    <w:p>
      <w:pPr>
        <w:pStyle w:val="Style10"/>
        <w:tabs>
          <w:tab w:leader="none" w:pos="5629" w:val="center"/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модернизации физкультурно-оздоровительных комплексов открытого типа и (или) физкультурно-оздоровительных комплексов для центров развития внешкольного спорта, перечня спортивно-технологического оборудования для создания или модернизации футбольных полей с</w:t>
        <w:tab/>
        <w:t>искусственным</w:t>
        <w:tab/>
        <w:t>покрытием», которым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утвержден перечень спортивно-технологического оборудования для создания или модернизации футбольных полей с искусственным покрытием, включает в себя искусственное покрытие зеленого цвета для устройства футбольного поля, высота ворса не менее 60 мм, включая полимерный дренажный модуль, нетканый материал и травмобезопасный бордюр.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установила, что КТРУ 32.30.15.299-00000078 не содержит такого описания объекта закупки, как наличие травмобезопасного бордюра.</w:t>
      </w:r>
    </w:p>
    <w:p>
      <w:pPr>
        <w:pStyle w:val="Style10"/>
        <w:tabs>
          <w:tab w:leader="none" w:pos="5629" w:val="center"/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Комиссия установила, что в соответствии с пунктом 6 Правил, Заказчиком приведено обоснование</w:t>
        <w:tab/>
        <w:t>необходимости</w:t>
        <w:tab/>
        <w:t>использования такой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информации (при наличии описания товара, работы, услуги в позиции каталога), а именно:</w:t>
      </w:r>
    </w:p>
    <w:p>
      <w:pPr>
        <w:pStyle w:val="Style10"/>
        <w:tabs>
          <w:tab w:leader="none" w:pos="5629" w:val="center"/>
          <w:tab w:leader="none" w:pos="9358" w:val="righ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«В соответствии с Правилами использования каталога товаров, работ, услуг для обеспечения государственных и</w:t>
        <w:tab/>
        <w:t>муниципальных</w:t>
        <w:tab/>
        <w:t>нужд, утвержденными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Постановлением Правительства Российской Федерации от 8 февраля 2017 г. № 145 заказчиком были использованы дополнительные характеристики товаров, т.к. информации в КТРУ недостаточно, чтобы точно и полно определить качественные, функциональные и технические характеристики товара. Требуемые характеристики позволяют с максимальной эффективностью на долговременной основе обеспечить</w:t>
        <w:br w:type="page"/>
        <w:t>нормативную эксплуатацию закупаемого товара, и, как следствие, обеспечить эффективное использование бюджетных средств, направленных на его приобретение в рамках закупки на поставку и монтаж оборудования для создания «умной» спортивной площадки на территории города Мценска Орловской области (комплект № 2 из приказа Министерства спорта РФ № 107 от 15.02.2022)».</w:t>
      </w:r>
    </w:p>
    <w:p>
      <w:pPr>
        <w:pStyle w:val="Style10"/>
        <w:tabs>
          <w:tab w:leader="none" w:pos="2037" w:val="center"/>
          <w:tab w:leader="none" w:pos="2498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Заказчиком правомерно в описании объекта закупки по позиции №</w:t>
        <w:tab/>
        <w:t>1</w:t>
        <w:tab/>
        <w:t>использована дополнительная характеристика товара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«травмобезопасный бордюр».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довод Заявителя не находит своего подтверждения.</w:t>
      </w:r>
    </w:p>
    <w:p>
      <w:pPr>
        <w:pStyle w:val="Style10"/>
        <w:numPr>
          <w:ilvl w:val="1"/>
          <w:numId w:val="3"/>
        </w:numPr>
        <w:tabs>
          <w:tab w:leader="none" w:pos="1250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 Заявителя Заказчиком в пункте 5.2 Приложения № 4 к Извещению, содержащего Техническое задание неправомерно установлена дополнительная характеристика «Количество внутренних изъятий в одной плитке, шт. &gt;100» к товару «Плитка резиновая, КТРУ 22.19.72.000-00000009».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5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Из пункта 4 Правил следует, что Заказчики обязаны применять информацию, включенную в позицию каталога в соответствии с подпунктами </w:t>
      </w:r>
      <w:r>
        <w:rPr>
          <w:rStyle w:val="CharStyle21"/>
        </w:rPr>
        <w:t>«б»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 </w:t>
      </w:r>
      <w:r>
        <w:rPr>
          <w:rStyle w:val="CharStyle21"/>
        </w:rPr>
        <w:t>«г»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 «е» - «з» пункта 10 Правил.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5 Правил определено,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пункта 6 Правил следует, что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пояснений представителя Заказчика следовало, что при осуществлении закупки Заказчик необходимо было приобрести в том числе, товар «Плитка резиновая», в связи с чем при описании объекта закупки Заказчиком было применен КТРУ 22.19.72.000-00000009, а также пояснили, что характеристика «Количество внутренних изъятий в одной плитке, шт. &gt;100» является дополнительной, в связи с чем Заказчиком в Приложении № 4 к Извещению было приведено обоснование необходимости использования такой информации.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Приложения № 4 к Извещению, содержащего Техническое задание Комиссией было установлено, что Заказчиком приведено следующее описание закупаемого товара «Плитка резиновая»:</w:t>
      </w:r>
    </w:p>
    <w:tbl>
      <w:tblPr>
        <w:tblOverlap w:val="never"/>
        <w:tblLayout w:type="fixed"/>
        <w:jc w:val="center"/>
      </w:tblPr>
      <w:tblGrid>
        <w:gridCol w:w="2251"/>
        <w:gridCol w:w="4402"/>
        <w:gridCol w:w="3278"/>
      </w:tblGrid>
      <w:tr>
        <w:trPr>
          <w:trHeight w:val="283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300" w:line="180" w:lineRule="exact"/>
              <w:ind w:left="120" w:right="0" w:firstLine="0"/>
            </w:pPr>
            <w:r>
              <w:rPr>
                <w:rStyle w:val="CharStyle30"/>
              </w:rPr>
              <w:t>5.2 Плитка резиновая</w:t>
            </w:r>
          </w:p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300" w:after="0" w:line="250" w:lineRule="exact"/>
              <w:ind w:left="120" w:right="0" w:firstLine="0"/>
            </w:pPr>
            <w:r>
              <w:rPr>
                <w:rStyle w:val="CharStyle30"/>
              </w:rPr>
              <w:t>КТРУ: 22.19.72.000- 00000009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1"/>
              </w:rPr>
              <w:t>Характеристики КТРУ: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Вид крепления плиток между собой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Скрытый ласточкин хвост</w:t>
            </w:r>
          </w:p>
        </w:tc>
      </w:tr>
      <w:tr>
        <w:trPr>
          <w:trHeight w:val="50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20" w:right="0" w:firstLine="0"/>
            </w:pPr>
            <w:r>
              <w:rPr>
                <w:rStyle w:val="CharStyle30"/>
              </w:rPr>
              <w:t>Толщина (без учета предельно допустимого отклонения), Миллиметр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&gt;25</w:t>
            </w:r>
          </w:p>
        </w:tc>
      </w:tr>
      <w:tr>
        <w:trPr>
          <w:trHeight w:val="264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Тип покрытия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Многослойное</w:t>
            </w:r>
          </w:p>
        </w:tc>
      </w:tr>
      <w:tr>
        <w:trPr>
          <w:trHeight w:val="50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Тип плитки по способу изготовления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20" w:right="0" w:firstLine="0"/>
            </w:pPr>
            <w:r>
              <w:rPr>
                <w:rStyle w:val="CharStyle30"/>
              </w:rPr>
              <w:t>С внутренними изъятиями (пустотами)</w:t>
            </w:r>
          </w:p>
        </w:tc>
      </w:tr>
      <w:tr>
        <w:trPr>
          <w:trHeight w:val="269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1"/>
              </w:rPr>
              <w:t>Дополнительные характеристики *:</w:t>
            </w:r>
          </w:p>
        </w:tc>
      </w:tr>
      <w:tr>
        <w:trPr>
          <w:trHeight w:val="1171" w:hRule="exact"/>
        </w:trPr>
        <w:tc>
          <w:tcPr>
            <w:shd w:val="clear" w:color="auto" w:fill="FFFFFF"/>
            <w:vMerge/>
            <w:tcBorders>
              <w:left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30"/>
              </w:rPr>
              <w:t>Покрытие для вспомогательной зоны предназначается для эксплуатации на открытом воздухе.</w:t>
            </w:r>
          </w:p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30" w:lineRule="exact"/>
              <w:ind w:left="120" w:right="0" w:firstLine="0"/>
            </w:pPr>
            <w:r>
              <w:rPr>
                <w:rStyle w:val="CharStyle30"/>
              </w:rPr>
              <w:t>В состав покрытия входят полимерный дренажный модуль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Соответствие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931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20" w:right="0" w:firstLine="0"/>
            </w:pPr>
            <w:r>
              <w:rPr>
                <w:rStyle w:val="CharStyle30"/>
              </w:rPr>
              <w:t>Количество внутренних изъятий в одной плите, шт.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3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20" w:right="0" w:firstLine="0"/>
            </w:pPr>
            <w:r>
              <w:rPr>
                <w:rStyle w:val="CharStyle30"/>
              </w:rPr>
              <w:t>&gt;100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262" w:after="0" w:line="288" w:lineRule="exact"/>
        <w:ind w:left="60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«В соответствии с Правилами использования каталога товаров, работ, услуг для обеспечения государственных и муниципальных нужд, утвержденными Постановлением Правительства Российской Федерации от 8 февраля 2017 г. № 145 заказчиком были использованы дополнительные характеристики товаров, т.к. информации в КТРУ недостаточно, чтобы точно и полно определить качественные, функциональные и технические характеристики товара. Требуемые характеристики позволяют с максимальной эффективностью на долговременной основе обеспечить нормативную эксплуатацию закупаемого товара, и, как следствие, обеспечить эффективное использование бюджетных средств, направленных на его приобретение в рамках закупки на поставку и монтаж оборудования для создания «умной» спортивной площадки на территории города Мценска Орловской области (комплект № 2 из приказа Министерства спорта РФ № 107 от 15.02.2022)».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Поскольку Заказчиком в соответствии с пунктом 6 Правил приведено в описании объекта закупки обоснование необходимости использования дополнительных характеристик товара. Комиссия не находит оснований считать неправомерными действия Заказчика по описанию объекта закупки.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 Заявителя жалобы признается необоснованным.</w:t>
      </w:r>
    </w:p>
    <w:p>
      <w:pPr>
        <w:pStyle w:val="Style10"/>
        <w:numPr>
          <w:ilvl w:val="1"/>
          <w:numId w:val="3"/>
        </w:numPr>
        <w:tabs>
          <w:tab w:leader="none" w:pos="1884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 согласно пункта 2 части 9 статьи 99 Федерального закона от 05.04.2013 № 44-ФЗ «О контрактной системе в сфере закупок товаров, выполнения работ, оказания услуг для обеспечения государственных и муниципальных нужд» (далее - Закон), Управлением принято решение передать указанную Жалобу в части проверки правильности формирования начальной (максимальной) цены контракта в соответствующий контролирующий орган (Администрацию Губернатора и Правительства Орловской области).</w:t>
      </w:r>
    </w:p>
    <w:p>
      <w:pPr>
        <w:pStyle w:val="Style10"/>
        <w:numPr>
          <w:ilvl w:val="0"/>
          <w:numId w:val="3"/>
        </w:numPr>
        <w:tabs>
          <w:tab w:leader="none" w:pos="1609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проведения внеплановой проверки Комиссией было установлено следующее.</w:t>
      </w:r>
    </w:p>
    <w:p>
      <w:pPr>
        <w:pStyle w:val="Style10"/>
        <w:numPr>
          <w:ilvl w:val="1"/>
          <w:numId w:val="3"/>
        </w:numPr>
        <w:tabs>
          <w:tab w:leader="none" w:pos="1884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600" w:right="4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5 статьи 42 Закона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</w:t>
      </w:r>
      <w:r>
        <w:rPr>
          <w:rStyle w:val="CharStyle12"/>
        </w:rPr>
        <w:t>заказчик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</w:t>
      </w:r>
      <w:r>
        <w:rPr>
          <w:rStyle w:val="CharStyle12"/>
        </w:rPr>
        <w:t>размещает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единой информационной системе </w:t>
      </w:r>
      <w:r>
        <w:rPr>
          <w:rStyle w:val="CharStyle12"/>
        </w:rPr>
        <w:t>разъяснение положений извещения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об осуществлении закупки </w:t>
      </w:r>
      <w:r>
        <w:rPr>
          <w:rStyle w:val="CharStyle12"/>
        </w:rPr>
        <w:t>с указанием предмета запроса, но без указания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участника закупки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Как было установлено Комиссией Орловского УФАС России 18.07.2022 Заказчику поступил запрос о даче разъяснений положений извещения об осуществлении закупки.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данные Заказчиком разъяснения положений извещения о закупке, Комиссия приходит к выводу о нарушении Заказчиком части 5 статьи 42 Закона, поскольку в нарушение указанной статьи, в ответе на запрос о даче разъяснений отсутствует указание на предмет такого запроса.</w:t>
      </w:r>
    </w:p>
    <w:p>
      <w:pPr>
        <w:pStyle w:val="Style10"/>
        <w:numPr>
          <w:ilvl w:val="1"/>
          <w:numId w:val="3"/>
        </w:numPr>
        <w:tabs>
          <w:tab w:leader="none" w:pos="1226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подпунктом «а» пункта 1 части 5 статьи 49 Закона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пункта 1 части 12 статьи 48 Закона при рассмотрении вторых частей заявок на участие в закупке соответствующая заявка подлежит отклонению в случае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содержания пункта 2 части 5 статьи 49 Закона,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пунктом 2 части 17 статьи 48 Закона </w:t>
      </w:r>
      <w:r>
        <w:rPr>
          <w:rStyle w:val="CharStyle12"/>
        </w:rPr>
        <w:t>протокол подведения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итогов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определения поставщика (подрядчика, исполнителя) </w:t>
      </w:r>
      <w:r>
        <w:rPr>
          <w:rStyle w:val="CharStyle12"/>
        </w:rPr>
        <w:t>должен содержать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, в </w:t>
      </w:r>
      <w:r>
        <w:rPr>
          <w:rStyle w:val="CharStyle12"/>
        </w:rPr>
        <w:t>том числе информацию о принятом в отношении каждой заявки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(каждой части заявки), поданной на участие в закупке, </w:t>
      </w:r>
      <w:r>
        <w:rPr>
          <w:rStyle w:val="CharStyle12"/>
        </w:rPr>
        <w:t>решении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 соответствии извещению об осуществлении закупки или об отклонении заявки на участие в закупке по основаниям, предусмотренным Законом, с обоснованием такого решения и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320" w:right="300" w:firstLine="0"/>
      </w:pPr>
      <w:r>
        <w:rPr>
          <w:rStyle w:val="CharStyle12"/>
        </w:rPr>
        <w:t>указанием положений Закона, извещения об осуществлении закупки, которым не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соответствует такая заявка, положений заявки на участие в закупке, которые не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12"/>
        </w:rPr>
        <w:t>соответствуют извещению об осуществлении закупки.</w:t>
      </w:r>
    </w:p>
    <w:p>
      <w:pPr>
        <w:pStyle w:val="Style43"/>
        <w:framePr w:w="9955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Протокол подведения итогов определения поставщика (подрядчика, исполнителя) от 28.07.2022 №ИЭА1, размещенный Заказчиком 28.07.2022 Комиссия установила, что он содержит следующую информацию:</w:t>
      </w:r>
    </w:p>
    <w:tbl>
      <w:tblPr>
        <w:tblOverlap w:val="never"/>
        <w:tblLayout w:type="fixed"/>
        <w:jc w:val="center"/>
      </w:tblPr>
      <w:tblGrid>
        <w:gridCol w:w="1051"/>
        <w:gridCol w:w="1464"/>
        <w:gridCol w:w="1781"/>
        <w:gridCol w:w="1987"/>
        <w:gridCol w:w="2645"/>
        <w:gridCol w:w="1027"/>
      </w:tblGrid>
      <w:tr>
        <w:trPr>
          <w:trHeight w:val="238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Порядков ый номер заявки, присвоены ый операторо м</w:t>
            </w:r>
          </w:p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электронн</w:t>
            </w:r>
          </w:p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ой</w:t>
            </w:r>
          </w:p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плошадки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Идентифнкацн онный номер заявки, присвоенный оператором электронной площадки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45"/>
              </w:rPr>
              <w:t>Ценовое</w:t>
            </w:r>
          </w:p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45"/>
              </w:rPr>
              <w:t>предложение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Решение о соответствии извещению об осуществлении закупки или решение об отклонении заявки на участие в закупке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 xml:space="preserve">Обоснование решения </w:t>
            </w:r>
            <w:r>
              <w:rPr>
                <w:rStyle w:val="CharStyle46"/>
              </w:rPr>
              <w:t xml:space="preserve">об </w:t>
            </w:r>
            <w:r>
              <w:rPr>
                <w:rStyle w:val="CharStyle45"/>
              </w:rPr>
              <w:t>отклонении/отстранении заявки на участие в закупке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 xml:space="preserve">Порядков </w:t>
            </w:r>
            <w:r>
              <w:rPr>
                <w:rStyle w:val="CharStyle46"/>
              </w:rPr>
              <w:t xml:space="preserve">ый номер </w:t>
            </w:r>
            <w:r>
              <w:rPr>
                <w:rStyle w:val="CharStyle45"/>
              </w:rPr>
              <w:t xml:space="preserve">заявки, присвоенн </w:t>
            </w:r>
            <w:r>
              <w:rPr>
                <w:rStyle w:val="CharStyle46"/>
              </w:rPr>
              <w:t xml:space="preserve">ый </w:t>
            </w:r>
            <w:r>
              <w:rPr>
                <w:rStyle w:val="CharStyle45"/>
              </w:rPr>
              <w:t>комиссие й по осуществи ению закупок</w:t>
            </w:r>
          </w:p>
        </w:tc>
      </w:tr>
      <w:tr>
        <w:trPr>
          <w:trHeight w:val="739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112335227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23025539,70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230" w:lineRule="exact"/>
              <w:ind w:left="0" w:right="0" w:firstLine="0"/>
            </w:pPr>
            <w:r>
              <w:rPr>
                <w:rStyle w:val="CharStyle47"/>
              </w:rPr>
              <w:t>Соответствует</w:t>
            </w:r>
          </w:p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230" w:lineRule="exact"/>
              <w:ind w:left="0" w:right="0" w:firstLine="0"/>
            </w:pPr>
            <w:r>
              <w:rPr>
                <w:rStyle w:val="CharStyle47"/>
              </w:rPr>
              <w:t>требованиям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55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1</w:t>
            </w:r>
          </w:p>
        </w:tc>
      </w:tr>
      <w:tr>
        <w:trPr>
          <w:trHeight w:val="4291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112334983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23154174,00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47"/>
              </w:rPr>
              <w:t>Отклонена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69" w:lineRule="exact"/>
              <w:ind w:left="0" w:right="0" w:firstLine="0"/>
            </w:pPr>
            <w:r>
              <w:rPr>
                <w:rStyle w:val="CharStyle47"/>
              </w:rPr>
              <w:t>Несоответствие информации и документов требованиям, предусмотренным извещением об осуществлении закупки (за исключением информации и документов, предусмотренных п. 2 и 3 ч. 6 ст. 43 Закона № 44-ФЗ) (Отклонение по п. 1 ч. 12. ст. 48 Закона № 44-ФЗ)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55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-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197" w:after="0" w:line="288" w:lineRule="exact"/>
        <w:ind w:left="3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учетом изложенного, указание в протоколе от 28.07.2022, в качестве основания отклонения заявки участника закупки, только на пункты 2 и 3 части 6 статьи 43 Закона является неправомерным, поскольку Протокол не содержит положений Извещения, которым не соответствует такая заявка и положений заявки, которые не соответствуют Извещению.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3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данном случае, Комиссия приходит к выводу об отсутствии в протоколе подведения итогов от 28.07.2022 надлежащего обоснования отклонения заявки с идентификационным номером 112334983, что, в свою очередь, является нарушением пункта 2 части 17 статьи 48 Закона.</w:t>
      </w:r>
    </w:p>
    <w:p>
      <w:pPr>
        <w:pStyle w:val="Style10"/>
        <w:framePr w:h="222" w:wrap="around" w:vAnchor="text" w:hAnchor="margin" w:x="235" w:y="197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40"/>
          <w:spacing w:val="0"/>
        </w:rPr>
        <w:t>32.30.15.299-</w:t>
      </w:r>
    </w:p>
    <w:p>
      <w:pPr>
        <w:pStyle w:val="Style10"/>
        <w:numPr>
          <w:ilvl w:val="1"/>
          <w:numId w:val="3"/>
        </w:numPr>
        <w:tabs>
          <w:tab w:leader="none" w:pos="1558" w:val="left"/>
        </w:tabs>
        <w:widowControl w:val="0"/>
        <w:keepNext w:val="0"/>
        <w:keepLines w:val="0"/>
        <w:shd w:val="clear" w:color="auto" w:fill="auto"/>
        <w:bidi w:val="0"/>
        <w:spacing w:before="0" w:after="286" w:line="288" w:lineRule="exact"/>
        <w:ind w:left="320" w:right="30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проанализировав Извещение и прикрепленные к нему документы Комиссия установила, что в Извещении в разделе «Информация об объекте закупки» указано, что описание объекта закупки осуществляется в том числе в соответствии с КТРУ 32.30.15.299-00000077 «Комплект искусственного покрытия, с высотой ворса не менее 20 мм, под размер поля 30 х 60 м, включающий 1100 пог. м соединительной ленты и 400 кг клея», а именно: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righ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11окрытие футбольное искусственное</w:t>
      </w:r>
      <w:r>
        <w:br w:type="page"/>
      </w:r>
    </w:p>
    <w:p>
      <w:pPr>
        <w:pStyle w:val="Style10"/>
        <w:tabs>
          <w:tab w:leader="none" w:pos="2809" w:val="left"/>
        </w:tabs>
        <w:widowControl w:val="0"/>
        <w:keepNext w:val="0"/>
        <w:keepLines w:val="0"/>
        <w:shd w:val="clear" w:color="auto" w:fill="auto"/>
        <w:bidi w:val="0"/>
        <w:spacing w:before="0" w:after="8" w:line="230" w:lineRule="exact"/>
        <w:ind w:left="20" w:right="0" w:firstLine="0"/>
      </w:pPr>
      <w:r>
        <w:rPr>
          <w:rStyle w:val="CharStyle12"/>
        </w:rPr>
        <w:t>00000077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 xml:space="preserve">Линейная плотность волокна,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dtex </w:t>
      </w:r>
      <w:r>
        <w:rPr>
          <w:lang w:val="ru-RU" w:eastAsia="ru-RU" w:bidi="ru-RU"/>
          <w:w w:val="100"/>
          <w:spacing w:val="0"/>
          <w:color w:val="000000"/>
          <w:position w:val="0"/>
        </w:rPr>
        <w:t>&gt; 12000 , Высота ворса &gt; 40 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center"/>
        <w:spacing w:before="0" w:after="497" w:line="230" w:lineRule="exact"/>
        <w:ind w:left="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Наличие устойчивости к УФ лучам Да 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в Техническом задании, прикрепленном к Извещению указано, что описание объекта закупки осуществляется, в том числе, в соответствии с КТРУ, а именно: Покрытие футбольное искусственное КТРУ: 32.30.15.299-00000078.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КТРУ 32.30.15.299-00000078 Комиссией было установлено, приведенные в нем характеристики товара не соответствуют характеристикам, приведенным в Извещении.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в действиях Заказчика содержатся нарушения пункта 1 части 1 статьи 33, пункта 1 части 2 статьи 42 Закона.</w:t>
      </w:r>
    </w:p>
    <w:p>
      <w:pPr>
        <w:pStyle w:val="Style10"/>
        <w:numPr>
          <w:ilvl w:val="1"/>
          <w:numId w:val="3"/>
        </w:numPr>
        <w:tabs>
          <w:tab w:leader="none" w:pos="1226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2 статьи 33 Закона описание объекта закупки в соответствии с требованиями, указанными в части 1 статьи 33 Закона,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Пунктом 3 части 2 статьи 42 Закона установлено, что извещение об осуществлении закупки, если иное не предусмотрено Законом, должно содержать следующие электронные документы 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пункту 1 части 2 статьи 43 Закона при формировании предложения участника закупки в отношении объекта закупки информация о товаре, предусмотренная подпунктами «а» и «б» пункта 2 части 1 статьи 43 Закона,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подпунктами «а» и «б» пункта 2 части 1 статьи 43 Закона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10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установлено, что согласно требованиям к содержанию и составу на участие в Аукционе и инструкции по ее заполнению (Приложение № 1 к извещению) такая заявка должна содержать: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«2) предложение участника закупки в отношении объекта закупки:</w:t>
      </w:r>
    </w:p>
    <w:p>
      <w:pPr>
        <w:pStyle w:val="Style10"/>
        <w:tabs>
          <w:tab w:leader="none" w:pos="462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6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</w:t>
        <w:tab/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документацией о закупке, если Законом о контрактной системе предусмотрена документация о закупке): не требуется;</w:t>
      </w:r>
    </w:p>
    <w:p>
      <w:pPr>
        <w:pStyle w:val="Style10"/>
        <w:tabs>
          <w:tab w:leader="none" w:pos="1526" w:val="left"/>
        </w:tabs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б)</w:t>
        <w:tab/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закупке;</w:t>
      </w:r>
    </w:p>
    <w:p>
      <w:pPr>
        <w:pStyle w:val="Style10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предложение участника закупки о цене контракта;</w:t>
      </w:r>
    </w:p>
    <w:p>
      <w:pPr>
        <w:pStyle w:val="Style10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и документы, предусмотренные нормативными правовыми актами, принятыми в соответствии 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 не требуется.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Подтверждением страны происхождения товаров, указанных в Приложениях к Приказу Минфина России от 04.06.2018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126н "Об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нужд" является указание (декларирование) участником закупки в заявке в соответствии с Федеральным законом наименования страны происхождения товара».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анализа Инструкции по заполнения заявки следует: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«В первой части заявки участника электронного аукциона должна быть представлена информация обо всех показателях товара (материала), установленных в Описании объекта закупки (приложение 1 к настоящей документации) (</w:t>
      </w:r>
      <w:r>
        <w:rPr>
          <w:rStyle w:val="CharStyle12"/>
        </w:rPr>
        <w:t>конкретные показатели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)».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ЕИС, объектом закупки является поставка и монтаж оборудования для создания «умной» спортивной площадки на территории города Мценска Орловской области.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пункте 7 Приложения № 4 к Извещению указано следующее: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«Поставка и монтаж оборудования для создания «умной» спортивной площадки на территории города Мценска Орловской области включает: поставку и монтаж оборудования для создания «умной» спортивной площадки.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 предоставляет вместе с оборудованием: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Сертификат соответствия;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6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Паспорт на изделие с инструкцией и гарантийным талоном».</w:t>
      </w:r>
    </w:p>
    <w:p>
      <w:pPr>
        <w:pStyle w:val="Style43"/>
        <w:framePr w:w="9974" w:wrap="notBeside" w:vAnchor="text" w:hAnchor="text" w:xAlign="center" w:y="1"/>
        <w:tabs>
          <w:tab w:leader="underscore" w:pos="9374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пункте 8 Приложения № 4 к Извещению приведен перечень следующего </w:t>
      </w:r>
      <w:r>
        <w:rPr>
          <w:rStyle w:val="CharStyle48"/>
        </w:rPr>
        <w:t>оборудования: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566"/>
        <w:gridCol w:w="3672"/>
        <w:gridCol w:w="1973"/>
        <w:gridCol w:w="1133"/>
        <w:gridCol w:w="1234"/>
        <w:gridCol w:w="1397"/>
      </w:tblGrid>
      <w:tr>
        <w:trPr>
          <w:trHeight w:val="117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60" w:line="180" w:lineRule="exact"/>
              <w:ind w:left="200" w:right="0" w:firstLine="0"/>
            </w:pPr>
            <w:r>
              <w:rPr>
                <w:rStyle w:val="CharStyle30"/>
              </w:rPr>
              <w:t>№</w:t>
            </w:r>
          </w:p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60" w:after="0" w:line="180" w:lineRule="exact"/>
              <w:ind w:left="200" w:right="0" w:firstLine="0"/>
            </w:pPr>
            <w:r>
              <w:rPr>
                <w:rStyle w:val="CharStyle45"/>
              </w:rPr>
              <w:t>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Наименование товара в соответствии с приказом Минспорта России от 15.02.2022 № 107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Наименование товара в соответствии с КТРУ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45"/>
              </w:rPr>
              <w:t>Единица</w:t>
            </w:r>
          </w:p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45"/>
              </w:rPr>
              <w:t>измерения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45"/>
              </w:rPr>
              <w:t>Количество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45"/>
              </w:rPr>
              <w:t>Код в соответствии сОКПД позиция КТРУ</w:t>
            </w:r>
          </w:p>
        </w:tc>
      </w:tr>
      <w:tr>
        <w:trPr>
          <w:trHeight w:val="115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6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Комплект искусственного покрытия, с высотой ворса не менее 20 мм, под размер поля 30 х 60 м, включающий 1100 пог. м. соединительной ленты и 400 кг клея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Покрытие</w:t>
            </w:r>
          </w:p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футбольное</w:t>
            </w:r>
          </w:p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искусственное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Кв.м.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1800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32.30.15.299-</w:t>
            </w:r>
          </w:p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00000078</w:t>
            </w:r>
          </w:p>
        </w:tc>
      </w:tr>
      <w:tr>
        <w:trPr>
          <w:trHeight w:val="25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260" w:right="0" w:firstLine="0"/>
            </w:pPr>
            <w:r>
              <w:rPr>
                <w:rStyle w:val="CharStyle30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Ворота футбольные, стационарные,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Ворота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0"/>
              <w:framePr w:w="997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32.30.15.1 13-</w:t>
            </w:r>
          </w:p>
        </w:tc>
      </w:tr>
    </w:tbl>
    <w:p>
      <w:pPr>
        <w:widowControl w:val="0"/>
        <w:rPr>
          <w:sz w:val="2"/>
          <w:szCs w:val="2"/>
        </w:rPr>
      </w:pPr>
    </w:p>
    <w:tbl>
      <w:tblPr>
        <w:tblOverlap w:val="never"/>
        <w:tblLayout w:type="fixed"/>
        <w:jc w:val="center"/>
      </w:tblPr>
      <w:tblGrid>
        <w:gridCol w:w="576"/>
        <w:gridCol w:w="3677"/>
        <w:gridCol w:w="1968"/>
        <w:gridCol w:w="1133"/>
        <w:gridCol w:w="1238"/>
        <w:gridCol w:w="1402"/>
      </w:tblGrid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30"/>
              </w:rPr>
              <w:t>размер 5 х 2 м (в комплекте с закладными стаканами и сеткой)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футбольные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00000017</w:t>
            </w:r>
          </w:p>
        </w:tc>
      </w:tr>
      <w:tr>
        <w:trPr>
          <w:trHeight w:val="72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Баскетбольные стойки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Стойка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60" w:line="180" w:lineRule="exact"/>
              <w:ind w:left="0" w:right="0" w:firstLine="0"/>
            </w:pPr>
            <w:r>
              <w:rPr>
                <w:rStyle w:val="CharStyle30"/>
              </w:rPr>
              <w:t>баскетбольная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игровая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32.30.15.111-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00000023</w:t>
            </w:r>
          </w:p>
        </w:tc>
      </w:tr>
      <w:tr>
        <w:trPr>
          <w:trHeight w:val="91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1" w:lineRule="exact"/>
              <w:ind w:left="0" w:right="0" w:firstLine="0"/>
            </w:pPr>
            <w:r>
              <w:rPr>
                <w:rStyle w:val="CharStyle30"/>
              </w:rPr>
              <w:t>Рулонное покрытие для беговых дорожек и вспомогательных зон (в комплекте с разметочной краской и клеем):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4.1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30"/>
              </w:rPr>
              <w:t>Рулонное покрытие для беговых дорожек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Покрытие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противоскользящее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Пог.м.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900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22.19.72.000-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00000012</w:t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4.2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30"/>
              </w:rPr>
              <w:t>Рулонное покрытие для вспомогательных зон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Покрытие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противоскользящее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Пог.м.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290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22.19.72.000-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00000012</w:t>
            </w:r>
          </w:p>
        </w:tc>
      </w:tr>
      <w:tr>
        <w:trPr>
          <w:trHeight w:val="48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4.4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30"/>
              </w:rPr>
              <w:t>Рулонное покрытие для вспомогательных зон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30"/>
              </w:rPr>
              <w:t>Покрытие противоскол ьзя щее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Пог.м.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120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22.19.72.000-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00000012</w:t>
            </w:r>
          </w:p>
        </w:tc>
      </w:tr>
      <w:tr>
        <w:trPr>
          <w:trHeight w:val="114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Покрытие для площадки для баскетбола под размер площадки 28 х 15 м, площадки для волейбола под размер площадки 18 х 9 м и вспомогательных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зон: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5.1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26" w:lineRule="exact"/>
              <w:ind w:left="0" w:right="0" w:firstLine="0"/>
            </w:pPr>
            <w:r>
              <w:rPr>
                <w:rStyle w:val="CharStyle30"/>
              </w:rPr>
              <w:t>Покрытие для площадки для волейбола и баскетбола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Покрытие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противоскользящее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Пог.м.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570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22.19.72.000-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00000012</w:t>
            </w:r>
          </w:p>
        </w:tc>
      </w:tr>
      <w:tr>
        <w:trPr>
          <w:trHeight w:val="456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5.2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Покрытие вспомогательных зон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Плитка резиновая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Кв.м.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100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22.19.72.000-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00000009</w:t>
            </w:r>
          </w:p>
        </w:tc>
      </w:tr>
      <w:tr>
        <w:trPr>
          <w:trHeight w:val="47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80" w:lineRule="exact"/>
              <w:ind w:left="160" w:right="0" w:firstLine="0"/>
            </w:pPr>
            <w:r>
              <w:rPr>
                <w:rStyle w:val="CharStyle30"/>
              </w:rPr>
              <w:t>5.2.1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Покрытие вспомогательных зон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30"/>
              </w:rPr>
              <w:t>Полимерный дренажный модуль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417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22.23.19.000-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00000004</w:t>
            </w:r>
          </w:p>
        </w:tc>
      </w:tr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Трибуна на 100 мест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40" w:lineRule="exact"/>
              <w:ind w:left="0" w:right="0" w:firstLine="0"/>
            </w:pPr>
            <w:r>
              <w:rPr>
                <w:rStyle w:val="CharStyle30"/>
              </w:rPr>
              <w:t>Трибуна сборно</w:t>
              <w:softHyphen/>
              <w:t>разборная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Шт.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32.30.15.299-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00000072</w:t>
            </w:r>
          </w:p>
        </w:tc>
      </w:tr>
      <w:tr>
        <w:trPr>
          <w:trHeight w:val="4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5" w:lineRule="exact"/>
              <w:ind w:left="0" w:right="0" w:firstLine="0"/>
            </w:pPr>
            <w:r>
              <w:rPr>
                <w:rStyle w:val="CharStyle30"/>
              </w:rPr>
              <w:t>Уличные стойки для волейбола (в комплекте с сеткой)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Стойки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волейбольные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5" w:lineRule="exact"/>
              <w:ind w:left="0" w:right="0" w:firstLine="0"/>
            </w:pPr>
            <w:r>
              <w:rPr>
                <w:rStyle w:val="CharStyle30"/>
              </w:rPr>
              <w:t>Пара (2 шт.)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32.30.15.110-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00000002</w:t>
            </w:r>
          </w:p>
        </w:tc>
      </w:tr>
      <w:tr>
        <w:trPr>
          <w:trHeight w:val="1589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right"/>
              <w:spacing w:before="0" w:after="0" w:line="180" w:lineRule="exact"/>
              <w:ind w:left="0" w:right="220" w:firstLine="0"/>
            </w:pPr>
            <w:r>
              <w:rPr>
                <w:rStyle w:val="CharStyle30"/>
              </w:rPr>
              <w:t>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1" w:lineRule="exact"/>
              <w:ind w:left="20" w:right="0" w:firstLine="0"/>
            </w:pPr>
            <w:r>
              <w:rPr>
                <w:rStyle w:val="CharStyle30"/>
              </w:rPr>
              <w:t>Работы строительные по строительству конструкций и плоскостных сооружений стадионов и прочих площадок для спортивных игр на открытом воздухе, гаких как футбол, бейсбол, регби, легкая атлетика, автомобильные гонки, велосипедные гонки и скачки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framePr w:w="9994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60" w:line="180" w:lineRule="exact"/>
              <w:ind w:left="0" w:right="0" w:firstLine="0"/>
            </w:pPr>
            <w:r>
              <w:rPr>
                <w:rStyle w:val="CharStyle30"/>
              </w:rPr>
              <w:t>Условная</w:t>
            </w:r>
          </w:p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60" w:after="0" w:line="180" w:lineRule="exact"/>
              <w:ind w:left="0" w:right="0" w:firstLine="0"/>
            </w:pPr>
            <w:r>
              <w:rPr>
                <w:rStyle w:val="CharStyle30"/>
              </w:rPr>
              <w:t>единица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0"/>
              <w:framePr w:w="9994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80" w:lineRule="exact"/>
              <w:ind w:left="0" w:right="0" w:firstLine="0"/>
            </w:pPr>
            <w:r>
              <w:rPr>
                <w:rStyle w:val="CharStyle30"/>
              </w:rPr>
              <w:t>42.99.22.110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256" w:after="0" w:line="283" w:lineRule="exact"/>
        <w:ind w:left="48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изучив описание объекта закупки (Техническое задание, содержащееся в Приложении № 4 к Извещению), приходит к выводу, что в техническом задании Извещения установлены требования к товарам, используемым при выполнении работ, в том числе к таким товарам, как рулонное покрытие, покрытие вспомогательных зон.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3" w:lineRule="exact"/>
        <w:ind w:left="48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в проекте контракта отсутствуют положения о том, что вышеуказанный товар передается Заказчику по товарной накладной или акту передачи, а также о том, что такой товар принимается к бухгалтерскому учету в соответствии с Федеральным законом от 06.12.2021 № 402-ФЗ «О бухгалтерском учете».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8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соответствии с положениями части 2 статьи 43 Закона участником закупки предоставляется исключительно согласие такого участника на оказание услуг в соответствии с Извещением, в том числе в отношении товаров (материалов), используемых при оказании таких услуг.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480" w:right="1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изложенное, Комиссия приходит к выводу, что Заказчиком неправомерно установлено требование о предоставлении в составе заявки на участие в Аукционе сведений, указанных в подпунктах «а» и «б» пункта 2 части 1 статьи 43 Закона, что нарушает пункт 3 части 2 статьи 42 Закона.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4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выявленными в действиях Заказчика нарушениями требований действующего законодательства о контрактной системе Комиссия Управления принимает решение о выдаче предписания об устранении нарушений законодательства Российской Федерации о закупках путем внесения изменений в Извещение.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90" w:line="293" w:lineRule="exact"/>
        <w:ind w:left="4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и, руководствуясь пунктом статьей 105 Закона, пунктом 3.16 Административного регламента. Комиссия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69" w:line="230" w:lineRule="exact"/>
        <w:ind w:left="4700" w:right="0" w:firstLine="0"/>
      </w:pPr>
      <w:r>
        <w:rPr>
          <w:rStyle w:val="CharStyle20"/>
        </w:rPr>
        <w:t>РЕШИЛА: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Жалобу ООО «Айти Групп Дистрибуция» признать обоснованной в части.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приостановление определения поставщика отменить.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в действиях Заказчика нарушение пункта 1 части 1 статьи 33, пунктов 1, 3 части 2 статьи 42, части 5 статьи 42, пункта 2 части 17 статьи 48 Закона.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Заказчику предписание об устранении допущенных нарушений требований законодательства Российской Федерации о закупках, путем внесения изменений в Извещение;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78" w:lineRule="exact"/>
        <w:ind w:left="4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Жалобу для проверки правильности формирования начальной (максимальной) цены контракта в соответствующий контролирующий орган (Администрацию Губернатора и Правительства Орловской области).</w:t>
      </w:r>
    </w:p>
    <w:p>
      <w:pPr>
        <w:framePr w:h="1531" w:wrap="around" w:vAnchor="text" w:hAnchor="margin" w:x="5629" w:y="1225"/>
        <w:widowControl w:val="0"/>
        <w:jc w:val="center"/>
        <w:rPr>
          <w:sz w:val="2"/>
          <w:szCs w:val="2"/>
        </w:rPr>
      </w:pPr>
      <w:r>
        <w:pict>
          <v:shape id="_x0000_s1031" type="#_x0000_t75" style="width:206pt;height:77pt;">
            <v:imagedata r:id="rId11" r:href="rId12"/>
          </v:shape>
        </w:pict>
      </w:r>
    </w:p>
    <w:p>
      <w:pPr>
        <w:pStyle w:val="Style41"/>
        <w:framePr w:h="1531" w:wrap="around" w:vAnchor="text" w:hAnchor="margin" w:x="5629" w:y="122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Д.А. Гончарова</w:t>
      </w:r>
    </w:p>
    <w:p>
      <w:pPr>
        <w:pStyle w:val="Style10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579" w:line="278" w:lineRule="exact"/>
        <w:ind w:left="0" w:right="20" w:firstLine="9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Передать материалы дела № 057/06/33-361/2022 должностному лицу Управления для рассмотрения вопроса о возбуждении дела об административном правонарушении.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303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459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548" w:line="211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части 9 статьи 106 Закона решение, принятое по результатам рассмотрения жалобы, может быть обжаловано в течение трех месяцев со дня его принятия.</w:t>
      </w:r>
    </w:p>
    <w:p>
      <w:pPr>
        <w:pStyle w:val="Style4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20" w:right="6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Торшина Ольга Александровна </w:t>
      </w:r>
      <w:r>
        <w:rPr>
          <w:rStyle w:val="CharStyle51"/>
          <w:i/>
          <w:iCs/>
        </w:rPr>
        <w:t>8(4862)73-16-32</w:t>
      </w:r>
    </w:p>
    <w:sectPr>
      <w:type w:val="continuous"/>
      <w:pgSz w:w="11909" w:h="16838"/>
      <w:pgMar w:top="1244" w:left="857" w:right="857" w:bottom="995" w:header="0" w:footer="3" w:gutter="182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34.8pt;margin-top:19.9pt;width:5.3pt;height:8.4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334.8pt;margin-top:19.9pt;width:5.3pt;height:8.4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7.45pt;margin-top:49.9pt;width:10.1pt;height:8.4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30" type="#_x0000_t202" style="position:absolute;margin-left:297.45pt;margin-top:49.9pt;width:10.1pt;height:8.4pt;z-index:-188744061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32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  <w:lvl w:ilvl="1">
      <w:start w:val="1"/>
      <w:numFmt w:val="decimal"/>
      <w:lvlText w:val="%1.%2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bullet"/>
      <w:lvlText w:val="&gt;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8"/>
        <w:color w:val="000000"/>
        <w:position w:val="0"/>
      </w:rPr>
    </w:lvl>
  </w:abstractNum>
  <w:abstractNum w:abstractNumId="8">
    <w:multiLevelType w:val="multilevel"/>
    <w:lvl w:ilvl="0">
      <w:start w:val="3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9">
    <w:name w:val="Основной текст (4) + 9 pt"/>
    <w:basedOn w:val="CharStyle8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11">
    <w:name w:val="Основной текст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"/>
    <w:basedOn w:val="CharStyle11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5">
    <w:name w:val="Основной текст + 11 pt"/>
    <w:basedOn w:val="CharStyle11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16">
    <w:name w:val="Основной текст + Полужирный,Интервал 0 pt"/>
    <w:basedOn w:val="CharStyle11"/>
    <w:rPr>
      <w:lang w:val="en-US" w:eastAsia="en-US" w:bidi="en-US"/>
      <w:b/>
      <w:bCs/>
      <w:w w:val="100"/>
      <w:spacing w:val="10"/>
      <w:color w:val="000000"/>
      <w:position w:val="0"/>
    </w:rPr>
  </w:style>
  <w:style w:type="character" w:customStyle="1" w:styleId="CharStyle18">
    <w:name w:val="Колонтитул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character" w:customStyle="1" w:styleId="CharStyle19">
    <w:name w:val="Колонтитул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0">
    <w:name w:val="Основной текст + Интервал 3 pt"/>
    <w:basedOn w:val="CharStyle11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21">
    <w:name w:val="Основной текст + Lucida Sans Unicode,10,5 pt,Курсив"/>
    <w:basedOn w:val="CharStyle11"/>
    <w:rPr>
      <w:lang w:val="ru-RU" w:eastAsia="ru-RU" w:bidi="ru-RU"/>
      <w:i/>
      <w:iCs/>
      <w:sz w:val="21"/>
      <w:szCs w:val="21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character" w:customStyle="1" w:styleId="CharStyle22">
    <w:name w:val="Основной текст (5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6"/>
    </w:rPr>
  </w:style>
  <w:style w:type="character" w:customStyle="1" w:styleId="CharStyle23">
    <w:name w:val="Основной текст (5) + 11 pt,Интервал 0 pt Exact"/>
    <w:basedOn w:val="CharStyle14"/>
    <w:rPr>
      <w:lang w:val="ru-RU" w:eastAsia="ru-RU" w:bidi="ru-RU"/>
      <w:sz w:val="22"/>
      <w:szCs w:val="22"/>
      <w:w w:val="100"/>
      <w:spacing w:val="8"/>
      <w:color w:val="000000"/>
      <w:position w:val="0"/>
    </w:rPr>
  </w:style>
  <w:style w:type="character" w:customStyle="1" w:styleId="CharStyle24">
    <w:name w:val="Основной текст (5) + 10 pt Exact"/>
    <w:basedOn w:val="CharStyle14"/>
    <w:rPr>
      <w:lang w:val="ru-RU" w:eastAsia="ru-RU" w:bidi="ru-RU"/>
      <w:sz w:val="20"/>
      <w:szCs w:val="20"/>
      <w:w w:val="100"/>
      <w:spacing w:val="6"/>
      <w:color w:val="000000"/>
      <w:position w:val="0"/>
    </w:rPr>
  </w:style>
  <w:style w:type="character" w:customStyle="1" w:styleId="CharStyle25">
    <w:name w:val="Основной текст (5) + Курсив,Интервал 0 pt Exact"/>
    <w:basedOn w:val="CharStyle14"/>
    <w:rPr>
      <w:lang w:val="ru-RU" w:eastAsia="ru-RU" w:bidi="ru-RU"/>
      <w:i/>
      <w:iCs/>
      <w:sz w:val="17"/>
      <w:szCs w:val="17"/>
      <w:w w:val="100"/>
      <w:spacing w:val="1"/>
      <w:color w:val="000000"/>
      <w:position w:val="0"/>
    </w:rPr>
  </w:style>
  <w:style w:type="character" w:customStyle="1" w:styleId="CharStyle27">
    <w:name w:val="Основной текст (6) Exact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13"/>
    </w:rPr>
  </w:style>
  <w:style w:type="character" w:customStyle="1" w:styleId="CharStyle28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29">
    <w:name w:val="Основной текст + Интервал 3 pt Exact"/>
    <w:basedOn w:val="CharStyle11"/>
    <w:rPr>
      <w:lang w:val="ru-RU" w:eastAsia="ru-RU" w:bidi="ru-RU"/>
      <w:sz w:val="22"/>
      <w:szCs w:val="22"/>
      <w:w w:val="100"/>
      <w:spacing w:val="64"/>
      <w:color w:val="000000"/>
      <w:position w:val="0"/>
    </w:rPr>
  </w:style>
  <w:style w:type="character" w:customStyle="1" w:styleId="CharStyle30">
    <w:name w:val="Основной текст + 9 pt"/>
    <w:basedOn w:val="CharStyle11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character" w:customStyle="1" w:styleId="CharStyle31">
    <w:name w:val="Основной текст + 9 pt,Курсив"/>
    <w:basedOn w:val="CharStyle11"/>
    <w:rPr>
      <w:lang w:val="ru-RU" w:eastAsia="ru-RU" w:bidi="ru-RU"/>
      <w:i/>
      <w:iCs/>
      <w:sz w:val="18"/>
      <w:szCs w:val="18"/>
      <w:w w:val="100"/>
      <w:spacing w:val="0"/>
      <w:color w:val="000000"/>
      <w:position w:val="0"/>
    </w:rPr>
  </w:style>
  <w:style w:type="character" w:customStyle="1" w:styleId="CharStyle32">
    <w:name w:val="Колонтитул + 10,5 pt,Интервал 0 pt"/>
    <w:basedOn w:val="CharStyle18"/>
    <w:rPr>
      <w:lang w:val="ru-RU" w:eastAsia="ru-RU" w:bidi="ru-RU"/>
      <w:sz w:val="21"/>
      <w:szCs w:val="21"/>
      <w:w w:val="100"/>
      <w:spacing w:val="10"/>
      <w:color w:val="000000"/>
      <w:position w:val="0"/>
    </w:rPr>
  </w:style>
  <w:style w:type="character" w:customStyle="1" w:styleId="CharStyle34">
    <w:name w:val="Основной текст (7) Exact"/>
    <w:basedOn w:val="DefaultParagraphFont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35">
    <w:name w:val="Основной текст (5) Exact"/>
    <w:basedOn w:val="CharStyle14"/>
    <w:rPr>
      <w:lang w:val="ru-RU" w:eastAsia="ru-RU" w:bidi="ru-RU"/>
      <w:u w:val="single"/>
      <w:sz w:val="17"/>
      <w:szCs w:val="17"/>
      <w:w w:val="100"/>
      <w:spacing w:val="6"/>
      <w:color w:val="000000"/>
      <w:position w:val="0"/>
    </w:rPr>
  </w:style>
  <w:style w:type="character" w:customStyle="1" w:styleId="CharStyle36">
    <w:name w:val="Основной текст (5) + 8 pt,Интервал 0 pt Exact"/>
    <w:basedOn w:val="CharStyle14"/>
    <w:rPr>
      <w:lang w:val="ru-RU" w:eastAsia="ru-RU" w:bidi="ru-RU"/>
      <w:sz w:val="16"/>
      <w:szCs w:val="16"/>
      <w:w w:val="100"/>
      <w:spacing w:val="9"/>
      <w:color w:val="000000"/>
      <w:position w:val="0"/>
    </w:rPr>
  </w:style>
  <w:style w:type="character" w:customStyle="1" w:styleId="CharStyle37">
    <w:name w:val="Основной текст (7)_"/>
    <w:basedOn w:val="DefaultParagraphFont"/>
    <w:link w:val="Style33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38">
    <w:name w:val="Основной текст (5) + Полужирный"/>
    <w:basedOn w:val="CharStyle14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39">
    <w:name w:val="Основной текст (5) + Полужирный"/>
    <w:basedOn w:val="CharStyle1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40">
    <w:name w:val="Основной текст Exact"/>
    <w:basedOn w:val="CharStyle11"/>
    <w:rPr>
      <w:lang w:val="ru-RU" w:eastAsia="ru-RU" w:bidi="ru-RU"/>
      <w:u w:val="single"/>
      <w:sz w:val="22"/>
      <w:szCs w:val="22"/>
      <w:w w:val="100"/>
      <w:spacing w:val="8"/>
      <w:color w:val="000000"/>
      <w:position w:val="0"/>
    </w:rPr>
  </w:style>
  <w:style w:type="character" w:customStyle="1" w:styleId="CharStyle42">
    <w:name w:val="Подпись к картинке Exact"/>
    <w:basedOn w:val="DefaultParagraphFont"/>
    <w:link w:val="Style41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character" w:customStyle="1" w:styleId="CharStyle44">
    <w:name w:val="Подпись к таблице_"/>
    <w:basedOn w:val="DefaultParagraphFont"/>
    <w:link w:val="Style4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45">
    <w:name w:val="Основной текст + 9 pt,Полужирный"/>
    <w:basedOn w:val="CharStyle11"/>
    <w:rPr>
      <w:lang w:val="ru-RU" w:eastAsia="ru-RU" w:bidi="ru-RU"/>
      <w:b/>
      <w:bCs/>
      <w:sz w:val="18"/>
      <w:szCs w:val="18"/>
      <w:w w:val="100"/>
      <w:spacing w:val="0"/>
      <w:color w:val="000000"/>
      <w:position w:val="0"/>
    </w:rPr>
  </w:style>
  <w:style w:type="character" w:customStyle="1" w:styleId="CharStyle46">
    <w:name w:val="Основной текст + 9 pt,Интервал 0 pt"/>
    <w:basedOn w:val="CharStyle11"/>
    <w:rPr>
      <w:lang w:val="ru-RU" w:eastAsia="ru-RU" w:bidi="ru-RU"/>
      <w:sz w:val="18"/>
      <w:szCs w:val="18"/>
      <w:w w:val="100"/>
      <w:spacing w:val="10"/>
      <w:color w:val="000000"/>
      <w:position w:val="0"/>
    </w:rPr>
  </w:style>
  <w:style w:type="character" w:customStyle="1" w:styleId="CharStyle47">
    <w:name w:val="Основной текст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8">
    <w:name w:val="Подпись к таблице"/>
    <w:basedOn w:val="CharStyle4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50">
    <w:name w:val="Основной текст (8)_"/>
    <w:basedOn w:val="DefaultParagraphFont"/>
    <w:link w:val="Style49"/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51">
    <w:name w:val="Основной текст (8) + 9 pt"/>
    <w:basedOn w:val="CharStyle50"/>
    <w:rPr>
      <w:lang w:val="ru-RU" w:eastAsia="ru-RU" w:bidi="ru-RU"/>
      <w:sz w:val="18"/>
      <w:szCs w:val="18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120" w:after="120" w:line="25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" w:line="312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240" w:line="19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FFFFFF"/>
      <w:jc w:val="both"/>
      <w:spacing w:before="240" w:line="518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line="518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7">
    <w:name w:val="Колонтитул"/>
    <w:basedOn w:val="Normal"/>
    <w:link w:val="CharStyle18"/>
    <w:pPr>
      <w:widowControl w:val="0"/>
      <w:shd w:val="clear" w:color="auto" w:fill="FFFFFF"/>
      <w:jc w:val="center"/>
      <w:spacing w:line="288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20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Lucida Sans Unicode" w:eastAsia="Lucida Sans Unicode" w:hAnsi="Lucida Sans Unicode" w:cs="Lucida Sans Unicode"/>
      <w:spacing w:val="13"/>
    </w:rPr>
  </w:style>
  <w:style w:type="paragraph" w:customStyle="1" w:styleId="Style33">
    <w:name w:val="Основной текст (7)"/>
    <w:basedOn w:val="Normal"/>
    <w:link w:val="CharStyle37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41">
    <w:name w:val="Подпись к картинке"/>
    <w:basedOn w:val="Normal"/>
    <w:link w:val="CharStyle4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8"/>
    </w:rPr>
  </w:style>
  <w:style w:type="paragraph" w:customStyle="1" w:styleId="Style43">
    <w:name w:val="Подпись к таблице"/>
    <w:basedOn w:val="Normal"/>
    <w:link w:val="CharStyle44"/>
    <w:pPr>
      <w:widowControl w:val="0"/>
      <w:shd w:val="clear" w:color="auto" w:fill="FFFFFF"/>
      <w:jc w:val="both"/>
      <w:spacing w:line="293" w:lineRule="exact"/>
      <w:ind w:firstLine="700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49">
    <w:name w:val="Основной текст (8)"/>
    <w:basedOn w:val="Normal"/>
    <w:link w:val="CharStyle50"/>
    <w:pPr>
      <w:widowControl w:val="0"/>
      <w:shd w:val="clear" w:color="auto" w:fill="FFFFFF"/>
      <w:spacing w:before="540" w:line="202" w:lineRule="exact"/>
    </w:pPr>
    <w:rPr>
      <w:b w:val="0"/>
      <w:bCs w:val="0"/>
      <w:i/>
      <w:iCs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