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ФГБНУ «РНЦХ им. Акад.</w:t>
      </w:r>
    </w:p>
    <w:p>
      <w:pPr>
        <w:pStyle w:val="Style20"/>
        <w:widowControl w:val="0"/>
        <w:keepNext w:val="0"/>
        <w:keepLines w:val="0"/>
        <w:shd w:val="clear" w:color="auto" w:fill="auto"/>
        <w:bidi w:val="0"/>
        <w:spacing w:before="0" w:after="303" w:line="260" w:lineRule="exact"/>
        <w:ind w:left="20" w:right="0" w:firstLine="0"/>
      </w:pPr>
      <w:r>
        <w:rPr>
          <w:lang w:val="ru-RU" w:eastAsia="ru-RU" w:bidi="ru-RU"/>
          <w:w w:val="100"/>
          <w:spacing w:val="0"/>
          <w:color w:val="000000"/>
          <w:position w:val="0"/>
        </w:rPr>
        <w:t>Б.В. Петровского»</w:t>
      </w:r>
    </w:p>
    <w:p>
      <w:pPr>
        <w:pStyle w:val="Style20"/>
        <w:widowControl w:val="0"/>
        <w:keepNext w:val="0"/>
        <w:keepLines w:val="0"/>
        <w:shd w:val="clear" w:color="auto" w:fill="auto"/>
        <w:bidi w:val="0"/>
        <w:jc w:val="left"/>
        <w:spacing w:before="0" w:after="349" w:line="322" w:lineRule="exact"/>
        <w:ind w:left="20" w:right="500" w:firstLine="0"/>
      </w:pPr>
      <w:r>
        <w:rPr>
          <w:lang w:val="ru-RU" w:eastAsia="ru-RU" w:bidi="ru-RU"/>
          <w:w w:val="100"/>
          <w:spacing w:val="0"/>
          <w:color w:val="000000"/>
          <w:position w:val="0"/>
        </w:rPr>
        <w:t>пер. Абрикосовский, д. 2, Москва, 119991</w:t>
      </w:r>
    </w:p>
    <w:p>
      <w:pPr>
        <w:pStyle w:val="Style20"/>
        <w:widowControl w:val="0"/>
        <w:keepNext w:val="0"/>
        <w:keepLines w:val="0"/>
        <w:shd w:val="clear" w:color="auto" w:fill="auto"/>
        <w:bidi w:val="0"/>
        <w:spacing w:before="0" w:after="317" w:line="260" w:lineRule="exact"/>
        <w:ind w:left="20" w:right="0" w:firstLine="0"/>
      </w:pPr>
      <w:r>
        <w:rPr>
          <w:lang w:val="ru-RU" w:eastAsia="ru-RU" w:bidi="ru-RU"/>
          <w:w w:val="100"/>
          <w:spacing w:val="0"/>
          <w:color w:val="000000"/>
          <w:position w:val="0"/>
        </w:rPr>
        <w:t>ООО «АПгрейт»</w:t>
      </w:r>
    </w:p>
    <w:p>
      <w:pPr>
        <w:pStyle w:val="Style20"/>
        <w:widowControl w:val="0"/>
        <w:keepNext w:val="0"/>
        <w:keepLines w:val="0"/>
        <w:shd w:val="clear" w:color="auto" w:fill="auto"/>
        <w:bidi w:val="0"/>
        <w:spacing w:before="0" w:after="0" w:line="317" w:lineRule="exact"/>
        <w:ind w:left="2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4" w:left="885" w:right="1192" w:bottom="340" w:header="0" w:footer="3" w:gutter="0"/>
          <w:rtlGutter w:val="0"/>
          <w:cols w:num="2" w:space="720" w:equalWidth="0">
            <w:col w:w="3941" w:space="1325"/>
            <w:col w:w="4565"/>
          </w:cols>
          <w:noEndnote/>
          <w:docGrid w:linePitch="360"/>
        </w:sectPr>
      </w:pPr>
      <w:r>
        <w:rPr>
          <w:lang w:val="ru-RU" w:eastAsia="ru-RU" w:bidi="ru-RU"/>
          <w:w w:val="100"/>
          <w:spacing w:val="0"/>
          <w:color w:val="000000"/>
          <w:position w:val="0"/>
        </w:rPr>
        <w:t>ул. Станиславского, №167/25, оф. 602, г. Ростов-на-Дону, 344022</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tabs>
          <w:tab w:leader="none" w:pos="9136" w:val="right"/>
          <w:tab w:leader="none" w:pos="10192" w:val="right"/>
        </w:tabs>
        <w:widowControl w:val="0"/>
        <w:keepNext w:val="0"/>
        <w:keepLines w:val="0"/>
        <w:shd w:val="clear" w:color="auto" w:fill="auto"/>
        <w:bidi w:val="0"/>
        <w:jc w:val="left"/>
        <w:spacing w:before="0" w:after="0"/>
        <w:ind w:left="40" w:right="20" w:firstLine="4380"/>
      </w:pPr>
      <w:r>
        <w:rPr>
          <w:lang w:val="ru-RU" w:eastAsia="ru-RU" w:bidi="ru-RU"/>
          <w:w w:val="100"/>
          <w:spacing w:val="0"/>
          <w:color w:val="000000"/>
          <w:position w:val="0"/>
        </w:rPr>
        <w:t>РЕШЕНИЕ по делу № 077/06/106-11480/2022 о нарушении законодательства о контрактной системе 03.08.2022</w:t>
        <w:tab/>
        <w:t>г.</w:t>
        <w:tab/>
        <w:t>Москва</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Председательствующего - главного специалиста-эксперта отдела обжалования государственных закупок А.А. Кутейникова,</w:t>
      </w:r>
    </w:p>
    <w:p>
      <w:pPr>
        <w:pStyle w:val="Style20"/>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20"/>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20"/>
        <w:tabs>
          <w:tab w:leader="none" w:pos="645" w:val="left"/>
        </w:tabs>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Н.А. Узкого,</w:t>
      </w:r>
    </w:p>
    <w:p>
      <w:pPr>
        <w:pStyle w:val="Style20"/>
        <w:widowControl w:val="0"/>
        <w:keepNext w:val="0"/>
        <w:keepLines w:val="0"/>
        <w:shd w:val="clear" w:color="auto" w:fill="auto"/>
        <w:bidi w:val="0"/>
        <w:jc w:val="left"/>
        <w:spacing w:before="0" w:after="0" w:line="322" w:lineRule="exact"/>
        <w:ind w:left="4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20"/>
        <w:tabs>
          <w:tab w:leader="none" w:pos="7854" w:val="left"/>
        </w:tabs>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ФГБНУ «Р</w:t>
      </w:r>
      <w:r>
        <w:rPr>
          <w:rStyle w:val="CharStyle26"/>
        </w:rPr>
        <w:t>НЦ</w:t>
      </w:r>
      <w:r>
        <w:rPr>
          <w:lang w:val="ru-RU" w:eastAsia="ru-RU" w:bidi="ru-RU"/>
          <w:w w:val="100"/>
          <w:spacing w:val="0"/>
          <w:color w:val="000000"/>
          <w:position w:val="0"/>
        </w:rPr>
        <w:t>Х им. Акад. Б.В. Петровского»:</w:t>
        <w:tab/>
        <w:t>А.А. Григорьевой</w:t>
      </w:r>
    </w:p>
    <w:p>
      <w:pPr>
        <w:pStyle w:val="Style20"/>
        <w:widowControl w:val="0"/>
        <w:keepNext w:val="0"/>
        <w:keepLines w:val="0"/>
        <w:shd w:val="clear" w:color="auto" w:fill="auto"/>
        <w:bidi w:val="0"/>
        <w:spacing w:before="0" w:after="0" w:line="322" w:lineRule="exact"/>
        <w:ind w:left="40" w:right="20" w:firstLine="0"/>
      </w:pPr>
      <w:r>
        <w:rPr>
          <w:lang w:val="ru-RU" w:eastAsia="ru-RU" w:bidi="ru-RU"/>
          <w:w w:val="100"/>
          <w:spacing w:val="0"/>
          <w:color w:val="000000"/>
          <w:position w:val="0"/>
        </w:rPr>
        <w:t>(по дов. №01.1-исх/1814 от 04.07.2022), Н.А. Феоктистовой (по дов. №01.1-исх/40 от 13.01.2022),</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ООО «Апгрейт»: А.А. Стриженок (по дов. №б/н от 01.08.2022), К.И. Захарова (по дов. №б/н от 01.05.2022),</w:t>
      </w:r>
    </w:p>
    <w:p>
      <w:pPr>
        <w:pStyle w:val="Style22"/>
        <w:framePr w:w="1685" w:h="394" w:wrap="around" w:vAnchor="text" w:hAnchor="margin" w:x="385" w:y="1446"/>
        <w:widowControl w:val="0"/>
        <w:keepNext w:val="0"/>
        <w:keepLines w:val="0"/>
        <w:shd w:val="clear" w:color="auto" w:fill="auto"/>
        <w:bidi w:val="0"/>
        <w:jc w:val="left"/>
        <w:spacing w:before="0" w:after="0" w:line="240" w:lineRule="auto"/>
        <w:ind w:left="0" w:right="0" w:firstLine="0"/>
      </w:pPr>
      <w:r>
        <w:rPr>
          <w:w w:val="100"/>
          <w:spacing w:val="0"/>
          <w:color w:val="000000"/>
          <w:position w:val="0"/>
        </w:rPr>
        <w:t>002057378922</w:t>
      </w:r>
    </w:p>
    <w:p>
      <w:pPr>
        <w:pStyle w:val="Style20"/>
        <w:widowControl w:val="0"/>
        <w:keepNext w:val="0"/>
        <w:keepLines w:val="0"/>
        <w:shd w:val="clear" w:color="auto" w:fill="auto"/>
        <w:bidi w:val="0"/>
        <w:spacing w:before="0" w:after="116" w:line="322" w:lineRule="exact"/>
        <w:ind w:left="40" w:right="20" w:firstLine="700"/>
      </w:pPr>
      <w:r>
        <w:rPr>
          <w:lang w:val="ru-RU" w:eastAsia="ru-RU" w:bidi="ru-RU"/>
          <w:w w:val="100"/>
          <w:spacing w:val="0"/>
          <w:color w:val="000000"/>
          <w:position w:val="0"/>
        </w:rPr>
        <w:t>рассмотрев жалобу ООО «Апгрейт» (далее — Заявитель) на действия ФГБНУ «Р</w:t>
      </w:r>
      <w:r>
        <w:rPr>
          <w:rStyle w:val="CharStyle26"/>
        </w:rPr>
        <w:t>НЦ</w:t>
      </w:r>
      <w:r>
        <w:rPr>
          <w:lang w:val="ru-RU" w:eastAsia="ru-RU" w:bidi="ru-RU"/>
          <w:w w:val="100"/>
          <w:spacing w:val="0"/>
          <w:color w:val="000000"/>
          <w:position w:val="0"/>
        </w:rPr>
        <w:t>Х им. Акад. Б.В. Петровского» (далее — Заказчик) при проведении электронного аукциона на право заключения государственного контракта на поставку медицинского оборудования для нужд ФГБНУ «РНЦХ им. Акад.</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59" w:left="818" w:right="847" w:bottom="325" w:header="0" w:footer="3" w:gutter="0"/>
          <w:rtlGutter w:val="0"/>
          <w:cols w:space="720"/>
          <w:noEndnote/>
          <w:docGrid w:linePitch="360"/>
        </w:sectPr>
      </w:pPr>
    </w:p>
    <w:p>
      <w:pPr>
        <w:pStyle w:val="Style20"/>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Б.В. Петровского» (Закупка № 0373100072122000207)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27"/>
        <w:widowControl w:val="0"/>
        <w:keepNext/>
        <w:keepLines/>
        <w:shd w:val="clear" w:color="auto" w:fill="auto"/>
        <w:bidi w:val="0"/>
        <w:spacing w:before="0" w:after="308"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аукциона.</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Заявитель обжалует действия Заказчика, выразившиеся в утверждении извещения о проведении электронного аукциона в нарушение Закона о контрактной системе.</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№ЕИ/39764/22 от 29.07.2022</w:t>
      </w:r>
      <w:r>
        <w:rPr>
          <w:rStyle w:val="CharStyle29"/>
        </w:rPr>
        <w:t xml:space="preserve">, </w:t>
      </w:r>
      <w:r>
        <w:rPr>
          <w:lang w:val="ru-RU" w:eastAsia="ru-RU" w:bidi="ru-RU"/>
          <w:w w:val="100"/>
          <w:spacing w:val="0"/>
          <w:color w:val="000000"/>
          <w:position w:val="0"/>
        </w:rPr>
        <w:t>Комиссия Управления установила следующее.</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п.1, п.3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а также требования к содержанию, составу заявки на участие в закупке в соответствии с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0"/>
        <w:numPr>
          <w:ilvl w:val="0"/>
          <w:numId w:val="1"/>
        </w:numPr>
        <w:tabs>
          <w:tab w:leader="none" w:pos="1053"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составе жалобы Заявитель указывает на то, что Заказчиком неправомерно не применены положения постановления Правительства Российской Федерации от 08.02.2017 № 145, которым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 в части описания объекта закупки.</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ч.5 ст.23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20"/>
        <w:widowControl w:val="0"/>
        <w:keepNext w:val="0"/>
        <w:keepLines w:val="0"/>
        <w:shd w:val="clear" w:color="auto" w:fill="auto"/>
        <w:bidi w:val="0"/>
        <w:spacing w:before="0" w:after="0" w:line="322" w:lineRule="exact"/>
        <w:ind w:left="20" w:right="20" w:firstLine="560"/>
      </w:pPr>
      <w:r>
        <w:rPr>
          <w:lang w:val="ru-RU" w:eastAsia="ru-RU" w:bidi="ru-RU"/>
          <w:w w:val="100"/>
          <w:spacing w:val="0"/>
          <w:color w:val="000000"/>
          <w:position w:val="0"/>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п.6 Правил использования КТРУ в случае предоставления дополнительной информации, предусмотренной п.5 Правил использования КТРУ,</w:t>
      </w:r>
    </w:p>
    <w:p>
      <w:pPr>
        <w:pStyle w:val="Style20"/>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соответствии с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Согласно описанию объекта закупочной процедуры Заказчиком закупается товар «Комплект медицинского оборудования для организации работы эндоскопического кабинета».</w:t>
      </w:r>
    </w:p>
    <w:p>
      <w:pPr>
        <w:pStyle w:val="Style20"/>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Так, по мнению Заявителя, объекту закупки соответствуют коды КТРУ:</w:t>
      </w:r>
    </w:p>
    <w:p>
      <w:pPr>
        <w:pStyle w:val="Style20"/>
        <w:numPr>
          <w:ilvl w:val="0"/>
          <w:numId w:val="3"/>
        </w:numPr>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00000374 «Система эндоскопической визуализации», 32.50.50.190</w:t>
        <w:softHyphen/>
        <w:t>00000905 «Система диатермической электрохирургии эндоскопическая»,</w:t>
      </w:r>
    </w:p>
    <w:p>
      <w:pPr>
        <w:pStyle w:val="Style20"/>
        <w:numPr>
          <w:ilvl w:val="0"/>
          <w:numId w:val="5"/>
        </w:numPr>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00000453 «Генератор аргон-усиленной электрохирургической системы»,</w:t>
      </w:r>
    </w:p>
    <w:p>
      <w:pPr>
        <w:pStyle w:val="Style20"/>
        <w:numPr>
          <w:ilvl w:val="0"/>
          <w:numId w:val="7"/>
        </w:numPr>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00001038 «Машина моющая/ дезинфицирующая для эндоскопов»,</w:t>
      </w:r>
    </w:p>
    <w:p>
      <w:pPr>
        <w:pStyle w:val="Style20"/>
        <w:numPr>
          <w:ilvl w:val="0"/>
          <w:numId w:val="9"/>
        </w:numPr>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00000847 «Колоноскоп гибкий», 26.60.12.119-00000772 «Бронхоскоп гибкий», ввиду чего требования к товарам должны быть установлены в соответствии с правилами использования КТРУ!</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согласно описанию объекта закупочной процедуры Заказчиком закупается товар «Комплект медицинского оборудования для организации работы эндоскопического кабинета», в соответствии с Приказом Министерства здравоохранения РФ от 6 декабря 2017 г. № 974н «Об утверждении Правил проведения эндоскопических исследований» (далее - Приказ №974н). Таким образом, согласно пояснениям представителя Заказчика, в силу указанного приказа установлен порядок организации и проведения эндоскопических исследований в медицинских и иных организациях, осуществляющих медицинскую деятельность. Исходя из данного Приказа №974н, Заказчик обязан оснастить эндоскопический кабинет всем медицинским оборудованием, изложенным в техническом задании.</w:t>
      </w:r>
    </w:p>
    <w:p>
      <w:pPr>
        <w:pStyle w:val="Style20"/>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Вместе с тем, указанные Заявителем поз</w:t>
      </w:r>
      <w:r>
        <w:rPr>
          <w:rStyle w:val="CharStyle26"/>
        </w:rPr>
        <w:t>ици</w:t>
      </w:r>
      <w:r>
        <w:rPr>
          <w:lang w:val="ru-RU" w:eastAsia="ru-RU" w:bidi="ru-RU"/>
          <w:w w:val="100"/>
          <w:spacing w:val="0"/>
          <w:color w:val="000000"/>
          <w:position w:val="0"/>
        </w:rPr>
        <w:t>и КТРУ 26.60.12.119-00000374,</w:t>
      </w:r>
    </w:p>
    <w:p>
      <w:pPr>
        <w:pStyle w:val="Style20"/>
        <w:numPr>
          <w:ilvl w:val="0"/>
          <w:numId w:val="11"/>
        </w:numPr>
        <w:tabs>
          <w:tab w:leader="none" w:pos="1604" w:val="left"/>
        </w:tabs>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00000905, 32.50.50.190-00000453, 32.50.50.190-00001038, 26.60.12.119</w:t>
        <w:softHyphen/>
        <w:t>00000847,</w:t>
        <w:tab/>
        <w:t>26.60.12.119-00000772 не соответствуют требованиям извещения о проведении электронного аукциона, а также потребности Заказчика в силу следующего.</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 вышеуказанные позиции КТРУ, предусматривают закупку исключительно отдельных медицинских изделий, в то время как Заказчику требуется непосредственно комплект медицинского оборудования для организации работы эндоскопического кабинета, в составе которого присутствуют необходимые медицинские изделия, в частности система эндоскопической визуализации, система диатермической электрохирургии эндоскопическая, генератор аргон-усиленной электрохирургической системы и т. д.</w:t>
      </w:r>
    </w:p>
    <w:p>
      <w:pPr>
        <w:pStyle w:val="Style20"/>
        <w:tabs>
          <w:tab w:leader="none" w:pos="3073" w:val="center"/>
          <w:tab w:leader="none" w:pos="5002" w:val="left"/>
          <w:tab w:leader="none" w:pos="10196" w:val="righ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Также Комиссия Управления отмечает, что поз</w:t>
      </w:r>
      <w:r>
        <w:rPr>
          <w:rStyle w:val="CharStyle26"/>
        </w:rPr>
        <w:t>ици</w:t>
      </w:r>
      <w:r>
        <w:rPr>
          <w:lang w:val="ru-RU" w:eastAsia="ru-RU" w:bidi="ru-RU"/>
          <w:w w:val="100"/>
          <w:spacing w:val="0"/>
          <w:color w:val="000000"/>
          <w:position w:val="0"/>
        </w:rPr>
        <w:t>и КТРУ 26.60.12.119</w:t>
        <w:softHyphen/>
        <w:t>00000374 «Система эндоскопической визуализации», 32.50.50.190-00000905 «Система</w:t>
        <w:tab/>
        <w:t>диатермической</w:t>
        <w:tab/>
        <w:t>электрохирургии</w:t>
        <w:tab/>
        <w:t>эндоскопическая»,</w:t>
      </w:r>
    </w:p>
    <w:p>
      <w:pPr>
        <w:pStyle w:val="Style20"/>
        <w:numPr>
          <w:ilvl w:val="0"/>
          <w:numId w:val="13"/>
        </w:numPr>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00000453 «Генератор аргон-усиленной электрохирургической системы»,</w:t>
      </w:r>
    </w:p>
    <w:p>
      <w:pPr>
        <w:pStyle w:val="Style20"/>
        <w:numPr>
          <w:ilvl w:val="0"/>
          <w:numId w:val="15"/>
        </w:numPr>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00001038 «Машина моющая/дезинфицирующая для эндоскопов» на которые ссылается Заявитель, не содержат описание характеристик товаров. В связи с чем не свидетельствуют о том, что они соответствуют требованиям Заказчика.</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силу ч.4 ст.106 Закона о контрактной системе обязанность доказывания нарушения Заказчиком своих прав и законных интересов лежит на подателе жалобы, однако на заседании Комиссии Управления, а также в составе жалобы Заявителем не представлено документов и сведений, подтверждающих тот факт, что установленные требования к закупаемым товарам, противоречат положениям Закона о контрактной системе,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20"/>
        <w:numPr>
          <w:ilvl w:val="0"/>
          <w:numId w:val="1"/>
        </w:numPr>
        <w:tabs>
          <w:tab w:leader="none" w:pos="1086"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составе жалобы Заявитель также указывает на то, что Заказчиком установлены противоречивые требования к составу заявки, которые вводят в заблуждение участников и могут быть использованы для ограничения количества участников закупки.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силу п.3 ч.2 ст.42 Закона о контрактной системе извещение о закупке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а) 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г) 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Инструкции по предоставлению сведений в составе заявки (далее- Инструкция): «Если в Техническом задании в столбце «Наименование, функциональные, технические характеристики, комплектация, описание товара. Требуемые функции / параметры», «Требуемое значение» установлено требование «не менее» - это означает что, заказчику требуется конкретный показатель, более указанного значения или равный ему».</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Комиссия Управления отмечает, что в целях исключения какого-либо субъективного правоусмотрения, документация должна содержать в себе четкие, исчерпывающие требования к участникам, подающим заявки на участие в закупке.</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Комиссией Управления установлено, что наименование столбцов, которые указаны в приложение №1 «Описание объекта закупки» не соответствуют наименованиям столбцов, указанных в приложении №3 «Требования к содержанию, составу заявки», что вводит участников закупки в заблуждение и может быть неверно истолковано при формировании заявки.</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при формировании требований к товару была допущена техническая ошибка.</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об обоснованности данного довода жалобы и о нарушении Заказчиком положений п.1,2 ч.1 ст.33, пп.1 ч.2 ст.42 Закона о контрактной системе, что также содержит признаки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Вместе с тем при рассмотрении вопроса о выдаче Заказчику обязательного для исполнения предписания об устранении нарушений законодательства о контрактной системе Комиссия Управления исходила из следующего.</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Комиссией Управления посредством функционала государственной информационной системы «Независимый регистратор» установлено, что Заявителем не направлялись запросы о даче разъяснений положений извещения о проведении закупки по данной закупочной процедуре, что конклюдентно свидетельствует о том, что участнику закупки заведомо были понятны условия и требования, предусмотренные извещением о проведении электронного аукциона.</w:t>
      </w:r>
    </w:p>
    <w:p>
      <w:pPr>
        <w:pStyle w:val="Style20"/>
        <w:widowControl w:val="0"/>
        <w:keepNext w:val="0"/>
        <w:keepLines w:val="0"/>
        <w:shd w:val="clear" w:color="auto" w:fill="auto"/>
        <w:bidi w:val="0"/>
        <w:spacing w:before="0" w:after="0" w:line="322" w:lineRule="exact"/>
        <w:ind w:left="20" w:right="20" w:firstLine="800"/>
      </w:pPr>
      <w:r>
        <w:rPr>
          <w:lang w:val="ru-RU" w:eastAsia="ru-RU" w:bidi="ru-RU"/>
          <w:w w:val="100"/>
          <w:spacing w:val="0"/>
          <w:color w:val="000000"/>
          <w:position w:val="0"/>
        </w:rPr>
        <w:t>Вместе с тем на заседании Комиссии Управления установлено, что согласно протоколу подведения итогов определения поставщика (подрядчика, исполнителя) от 29.07.2022 №ИЭА2 на участие в закупке подана 1 заявка, признанная соответствующей, что также подтверждает объективную возможность формирования и подачи заявки на участие в аукционе и свидетельствует о том, что выявленные нарушения не повлияли на результаты определения поставщика (подрядчика, исполнителя).</w:t>
      </w:r>
    </w:p>
    <w:p>
      <w:pPr>
        <w:pStyle w:val="Style20"/>
        <w:numPr>
          <w:ilvl w:val="0"/>
          <w:numId w:val="1"/>
        </w:numPr>
        <w:tabs>
          <w:tab w:leader="none" w:pos="1162" w:val="left"/>
        </w:tabs>
        <w:widowControl w:val="0"/>
        <w:keepNext w:val="0"/>
        <w:keepLines w:val="0"/>
        <w:shd w:val="clear" w:color="auto" w:fill="auto"/>
        <w:bidi w:val="0"/>
        <w:spacing w:before="0" w:after="0" w:line="322" w:lineRule="exact"/>
        <w:ind w:left="20" w:right="20" w:firstLine="800"/>
      </w:pPr>
      <w:r>
        <w:rPr>
          <w:lang w:val="ru-RU" w:eastAsia="ru-RU" w:bidi="ru-RU"/>
          <w:w w:val="100"/>
          <w:spacing w:val="0"/>
          <w:color w:val="000000"/>
          <w:position w:val="0"/>
        </w:rPr>
        <w:t>Также в составе жалобы Заявитель указывает на то, что в извещении о проведении электронного аукциона неправомерно установлено требование к участникам закупки о наличии действующей лицензии на сопутствующие услуги при основном лоте на поставку товара в соответствии с ч. 1 ст. 31 Закона о контрактной системе.</w:t>
      </w:r>
    </w:p>
    <w:p>
      <w:pPr>
        <w:pStyle w:val="Style20"/>
        <w:tabs>
          <w:tab w:leader="none" w:pos="2111" w:val="left"/>
        </w:tabs>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П.12 ч.1</w:t>
        <w:tab/>
        <w:t>ст.42 Закона о контрактной системе установлено, что при</w:t>
      </w:r>
    </w:p>
    <w:p>
      <w:pPr>
        <w:pStyle w:val="Style20"/>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соответствии с пп. «н»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пунктом 1 части 1 статьи 31 Закона о контрактной системе,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Закона о контрактной системе, если иное не предусмотрено Законом о контрактной системе.</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требование к участникам закупки о предоставлении лицензии не установлено, вопреки доводам Заявителя.</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Комиссия Управления также отмечает, что согласно извещению о проведении электронного аукциона Заказчиком установлены дополнительные требования к участникам закупки, предусмотренные п.4 постановления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Таким образом Заказчиком установлены дополнительные требования к участникам закупок на основании ч.2.1 ст.31 Закона о контрактной системе в соответствии с действующим законодательством.</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Кроме того Комиссия Управления отмечает, что извещение, а также требование к составу заявки не содержит указания на необходимость участников закупки представлять в составе заявки какие-либо лицензии.</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Доказательств обратного, равно как доказательств ограничения количества участников закупки, Комиссии Управления Заявителем не представлено.</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Таким образом, Комиссия Управления приходит к выводу, что данный довод Заявителя не нашел своего подтверждения и является необоснованным.</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4. Согласно доводам жалобы Заказчиком в проекте контракта неправомерно установлено следующее требование о предоставлении документов, подтверждающих предоставление гарантийных обязательств, а именно:</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«8.2. 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w:t>
      </w:r>
      <w:r>
        <w:rPr>
          <w:rStyle w:val="CharStyle26"/>
        </w:rPr>
        <w:t>щи</w:t>
      </w:r>
      <w:r>
        <w:rPr>
          <w:lang w:val="ru-RU" w:eastAsia="ru-RU" w:bidi="ru-RU"/>
          <w:w w:val="100"/>
          <w:spacing w:val="0"/>
          <w:color w:val="000000"/>
          <w:position w:val="0"/>
        </w:rPr>
        <w:t>ми надлежащее качество материалов, используемых для изготовления Оборудования, а также надлежащее качество Оборудования».</w:t>
      </w:r>
    </w:p>
    <w:p>
      <w:pPr>
        <w:pStyle w:val="Style20"/>
        <w:widowControl w:val="0"/>
        <w:keepNext w:val="0"/>
        <w:keepLines w:val="0"/>
        <w:shd w:val="clear" w:color="auto" w:fill="auto"/>
        <w:bidi w:val="0"/>
        <w:spacing w:before="0" w:after="0" w:line="322" w:lineRule="exact"/>
        <w:ind w:left="0" w:right="20" w:firstLine="840"/>
      </w:pPr>
      <w:r>
        <w:rPr>
          <w:lang w:val="ru-RU" w:eastAsia="ru-RU" w:bidi="ru-RU"/>
          <w:w w:val="100"/>
          <w:spacing w:val="0"/>
          <w:color w:val="000000"/>
          <w:position w:val="0"/>
        </w:rPr>
        <w:t>В силу ч. 4 ст. 33 Закона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На заседании Комиссии Управления представитель Заказчика пояснил, что данное требование проекта контракта является типовым и не подлежит самостоятельной корректировки. При этом, согласно пояснениям представителя Заказчика, установление требования о предоставлении гарантии производителя (изготовителя) Оборудования обусловлено необходимостью проверки товара на работоспособность и отсутствие брака производителя. При этом, согласно пояснениям представителя Заказчика, требование о предоставлении гарантийного талона Поставщика может быть представлено в любой свободной форме, поскольку в извещении о проведении электронного аукциона не установлены требования по содержанию и форме документа.</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Доказательств обратного, равно как доказательств ограничения количества участников закупки, на заседание Комиссии Управления представителем Заявителя не представлено.</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Таким образом, Комиссия Управления приходит к выводу, что данный довод Заявителя не нашел своего подтверждения и является необоснованным.</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24"/>
        <w:widowControl w:val="0"/>
        <w:keepNext w:val="0"/>
        <w:keepLines w:val="0"/>
        <w:shd w:val="clear" w:color="auto" w:fill="auto"/>
        <w:bidi w:val="0"/>
        <w:jc w:val="center"/>
        <w:spacing w:before="0" w:after="0" w:line="260" w:lineRule="exact"/>
        <w:ind w:left="20" w:right="0" w:firstLine="0"/>
      </w:pPr>
      <w:r>
        <w:rPr>
          <w:lang w:val="ru-RU" w:eastAsia="ru-RU" w:bidi="ru-RU"/>
          <w:w w:val="100"/>
          <w:spacing w:val="0"/>
          <w:color w:val="000000"/>
          <w:position w:val="0"/>
        </w:rPr>
        <w:t>РЕШИЛА:</w:t>
      </w:r>
    </w:p>
    <w:p>
      <w:pPr>
        <w:pStyle w:val="Style20"/>
        <w:numPr>
          <w:ilvl w:val="0"/>
          <w:numId w:val="17"/>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Признать жалобу ООО «АПгрейт» на действия ФГБНУ «РНЦХ им. Акад. Б.В. Петровского» обоснованной в части установления противоречивых требований к товарам и Инструкции.</w:t>
      </w:r>
    </w:p>
    <w:p>
      <w:pPr>
        <w:pStyle w:val="Style20"/>
        <w:numPr>
          <w:ilvl w:val="0"/>
          <w:numId w:val="17"/>
        </w:numPr>
        <w:widowControl w:val="0"/>
        <w:keepNext w:val="0"/>
        <w:keepLines w:val="0"/>
        <w:shd w:val="clear" w:color="auto" w:fill="auto"/>
        <w:bidi w:val="0"/>
        <w:spacing w:before="0" w:after="0" w:line="326" w:lineRule="exact"/>
        <w:ind w:left="20" w:right="20" w:firstLine="700"/>
      </w:pPr>
      <w:r>
        <w:rPr>
          <w:lang w:val="ru-RU" w:eastAsia="ru-RU" w:bidi="ru-RU"/>
          <w:w w:val="100"/>
          <w:spacing w:val="0"/>
          <w:color w:val="000000"/>
          <w:position w:val="0"/>
        </w:rPr>
        <w:t xml:space="preserve"> Признать в действиях Заказчика нарушение п.1,2 ч.1 ст.33, пп.1 ч.2 ст.42 Закона о контрактной системе.</w:t>
      </w:r>
    </w:p>
    <w:p>
      <w:pPr>
        <w:pStyle w:val="Style20"/>
        <w:numPr>
          <w:ilvl w:val="0"/>
          <w:numId w:val="17"/>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Обязательное для исполнения предписание об устранении нарушений Закона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20"/>
        <w:numPr>
          <w:ilvl w:val="0"/>
          <w:numId w:val="17"/>
        </w:numPr>
        <w:widowControl w:val="0"/>
        <w:keepNext w:val="0"/>
        <w:keepLines w:val="0"/>
        <w:shd w:val="clear" w:color="auto" w:fill="auto"/>
        <w:bidi w:val="0"/>
        <w:spacing w:before="0" w:after="300" w:line="322" w:lineRule="exact"/>
        <w:ind w:left="20" w:right="2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20"/>
        <w:widowControl w:val="0"/>
        <w:keepNext w:val="0"/>
        <w:keepLines w:val="0"/>
        <w:shd w:val="clear" w:color="auto" w:fill="auto"/>
        <w:bidi w:val="0"/>
        <w:spacing w:before="0" w:after="43" w:line="322"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20"/>
        <w:tabs>
          <w:tab w:leader="none" w:pos="8718" w:val="right"/>
          <w:tab w:leader="none" w:pos="10186"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Председательствующий</w:t>
        <w:tab/>
        <w:t>А.А.</w:t>
        <w:tab/>
        <w:t>Кутейников</w:t>
      </w:r>
    </w:p>
    <w:p>
      <w:pPr>
        <w:pStyle w:val="Style20"/>
        <w:tabs>
          <w:tab w:leader="none" w:pos="8919" w:val="right"/>
          <w:tab w:leader="none" w:pos="10186"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Члены Комиссии</w:t>
        <w:tab/>
        <w:t>А.З.</w:t>
        <w:tab/>
        <w:t>Касимова</w:t>
      </w:r>
    </w:p>
    <w:p>
      <w:pPr>
        <w:pStyle w:val="Style20"/>
        <w:widowControl w:val="0"/>
        <w:keepNext w:val="0"/>
        <w:keepLines w:val="0"/>
        <w:shd w:val="clear" w:color="auto" w:fill="auto"/>
        <w:bidi w:val="0"/>
        <w:jc w:val="right"/>
        <w:spacing w:before="0" w:after="4271" w:line="643" w:lineRule="exact"/>
        <w:ind w:left="0" w:right="20" w:firstLine="0"/>
      </w:pPr>
      <w:r>
        <w:rPr>
          <w:lang w:val="ru-RU" w:eastAsia="ru-RU" w:bidi="ru-RU"/>
          <w:w w:val="100"/>
          <w:spacing w:val="0"/>
          <w:color w:val="000000"/>
          <w:position w:val="0"/>
        </w:rPr>
        <w:t>Н.А. Узкий</w:t>
      </w:r>
    </w:p>
    <w:p>
      <w:pPr>
        <w:pStyle w:val="Style30"/>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Касимова А.З.</w:t>
      </w:r>
    </w:p>
    <w:sectPr>
      <w:pgSz w:w="11909" w:h="16838"/>
      <w:pgMar w:top="1259" w:left="851" w:right="843" w:bottom="113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5pt;margin-top:796.05pt;width:56.9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2022-44478</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5.75pt;width:56.9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2022-44478</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5pt;margin-top:37.05pt;width:5.3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19"/>
      <w:numFmt w:val="decimal"/>
      <w:lvlText w:val="26.60.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90"/>
      <w:numFmt w:val="decimal"/>
      <w:lvlText w:val="32.50.5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90"/>
      <w:numFmt w:val="decimal"/>
      <w:lvlText w:val="32.50.5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19"/>
      <w:numFmt w:val="decimal"/>
      <w:lvlText w:val="26.60.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90"/>
      <w:numFmt w:val="decimal"/>
      <w:lvlText w:val="32.50.5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90"/>
      <w:numFmt w:val="decimal"/>
      <w:lvlText w:val="32.50.5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90"/>
      <w:numFmt w:val="decimal"/>
      <w:lvlText w:val="32.50.5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w:basedOn w:val="CharStyle21"/>
    <w:rPr>
      <w:lang w:val="ru-RU" w:eastAsia="ru-RU" w:bidi="ru-RU"/>
      <w:u w:val="single"/>
      <w:w w:val="100"/>
      <w:spacing w:val="0"/>
      <w:color w:val="000000"/>
      <w:position w:val="0"/>
    </w:rPr>
  </w:style>
  <w:style w:type="character" w:customStyle="1" w:styleId="CharStyle28">
    <w:name w:val="Заголовок №1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 Полужирный"/>
    <w:basedOn w:val="CharStyle21"/>
    <w:rPr>
      <w:lang w:val="ru-RU" w:eastAsia="ru-RU" w:bidi="ru-RU"/>
      <w:b/>
      <w:bCs/>
      <w:w w:val="100"/>
      <w:spacing w:val="0"/>
      <w:color w:val="000000"/>
      <w:position w:val="0"/>
    </w:rPr>
  </w:style>
  <w:style w:type="character" w:customStyle="1" w:styleId="CharStyle31">
    <w:name w:val="Основной текст (6)_"/>
    <w:basedOn w:val="DefaultParagraphFont"/>
    <w:link w:val="Style30"/>
    <w:rPr>
      <w:b/>
      <w:bCs/>
      <w:i w:val="0"/>
      <w:iCs w:val="0"/>
      <w:u w:val="none"/>
      <w:strike w:val="0"/>
      <w:smallCaps w:val="0"/>
      <w:sz w:val="18"/>
      <w:szCs w:val="18"/>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jc w:val="both"/>
      <w:spacing w:before="39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s>
</file>