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893" w:wrap="around" w:vAnchor="text" w:hAnchor="margin" w:x="2041" w:y="399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2pt;height:45pt;">
            <v:imagedata r:id="rId5" r:href="rId6"/>
          </v:shape>
        </w:pic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00"/>
        <w:ind w:left="5520" w:right="2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196оз-22 029/06/42-689/2022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rStyle w:val="CharStyle18"/>
          <w:b/>
          <w:bCs/>
        </w:rPr>
        <w:t>Заказчик :</w:t>
      </w:r>
    </w:p>
    <w:p>
      <w:pPr>
        <w:pStyle w:val="Style3"/>
        <w:framePr w:w="4811" w:h="2593" w:wrap="around" w:vAnchor="text" w:hAnchor="margin" w:x="102" w:y="557"/>
        <w:widowControl w:val="0"/>
        <w:keepNext w:val="0"/>
        <w:keepLines w:val="0"/>
        <w:shd w:val="clear" w:color="auto" w:fill="auto"/>
        <w:bidi w:val="0"/>
        <w:jc w:val="center"/>
        <w:spacing w:before="0" w:after="41" w:line="283" w:lineRule="exact"/>
        <w:ind w:left="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5"/>
        <w:framePr w:w="4811" w:h="2593" w:wrap="around" w:vAnchor="text" w:hAnchor="margin" w:x="102" w:y="557"/>
        <w:widowControl w:val="0"/>
        <w:keepNext w:val="0"/>
        <w:keepLines w:val="0"/>
        <w:shd w:val="clear" w:color="auto" w:fill="auto"/>
        <w:bidi w:val="0"/>
        <w:jc w:val="center"/>
        <w:spacing w:before="0" w:after="249" w:line="307" w:lineRule="exact"/>
        <w:ind w:left="0" w:right="0" w:firstLine="0"/>
      </w:pPr>
      <w:r>
        <w:rPr>
          <w:rStyle w:val="CharStyle6"/>
          <w:b/>
          <w:bCs/>
          <w:spacing w:val="0"/>
        </w:rPr>
        <w:t>УПРАВЛЕНИЕ Федеральной антимонопольной службы по Архангельской области</w:t>
      </w:r>
    </w:p>
    <w:p>
      <w:pPr>
        <w:pStyle w:val="Style7"/>
        <w:framePr w:w="4811" w:h="2593" w:wrap="around" w:vAnchor="text" w:hAnchor="margin" w:x="102" w:y="55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 Либкнехта, 2, г. Архангельск, 163000 Тел.: (8182) 20-73-21, факс: (8182) 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to29@fas.gov.ru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0" w:right="0" w:firstLine="0"/>
      </w:pPr>
      <w:r>
        <w:rPr>
          <w:rStyle w:val="CharStyle19"/>
          <w:b/>
          <w:bCs/>
        </w:rPr>
        <w:t xml:space="preserve">Государственное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казенное учреждение Архангельской области "Центр развития туризма и культуры Архангельской области"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17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163004, Архангельская обл, Архангельск г, улица Свободы, 8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info@pomorland.travel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163069, г. Архангельск, ул.Выучейского, д. 18</w:t>
      </w:r>
    </w:p>
    <w:p>
      <w:pPr>
        <w:pStyle w:val="Style9"/>
        <w:framePr w:h="302" w:wrap="around" w:vAnchor="text" w:hAnchor="margin" w:x="2351" w:y="390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rStyle w:val="CharStyle11"/>
          <w:i w:val="0"/>
          <w:iCs w:val="0"/>
          <w:spacing w:val="-30"/>
        </w:rPr>
        <w:t xml:space="preserve">•о </w:t>
      </w:r>
      <w:r>
        <w:rPr>
          <w:lang w:val="ru-RU" w:eastAsia="ru-RU" w:bidi="ru-RU"/>
          <w:spacing w:val="0"/>
          <w:color w:val="000000"/>
          <w:position w:val="0"/>
        </w:rPr>
        <w:t>-С 5/л -Р'Уу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184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12"/>
        <w:framePr w:h="180" w:wrap="around" w:vAnchor="text" w:hAnchor="margin" w:x="2241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0" w:firstLine="0"/>
      </w:pPr>
      <w:r>
        <w:rPr>
          <w:rStyle w:val="CharStyle21"/>
          <w:b/>
          <w:bCs/>
        </w:rPr>
        <w:t>Оператор электронной площадки:</w:t>
      </w:r>
    </w:p>
    <w:p>
      <w:pPr>
        <w:pStyle w:val="Style14"/>
        <w:framePr w:h="200" w:wrap="around" w:vAnchor="text" w:hAnchor="margin" w:x="63" w:y="15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15"/>
          <w:spacing w:val="0"/>
        </w:rPr>
        <w:t>На №</w:t>
      </w:r>
    </w:p>
    <w:p>
      <w:pPr>
        <w:pStyle w:val="Style14"/>
        <w:framePr w:h="200" w:wrap="around" w:vAnchor="text" w:hAnchor="margin" w:x="2203" w:y="16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5"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5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76" w:line="245" w:lineRule="exact"/>
        <w:ind w:left="55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д. 23А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5520" w:right="0" w:firstLine="0"/>
      </w:pPr>
      <w:r>
        <w:rPr>
          <w:rStyle w:val="CharStyle18"/>
          <w:b/>
          <w:bCs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5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"НОВАТЕК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APT"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324"/>
        <w:ind w:left="5520" w:right="6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123154, г. Москва, б-р Генерала Карбышева, дом 5, корпус 2, помещение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i-1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этаж оф 1/Зг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"mailto:i.pa@mail.ru"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i.pa@mail.ru</w:t>
      </w:r>
      <w:r>
        <w:fldChar w:fldCharType="end"/>
      </w:r>
    </w:p>
    <w:p>
      <w:pPr>
        <w:pStyle w:val="Style22"/>
        <w:widowControl w:val="0"/>
        <w:keepNext/>
        <w:keepLines/>
        <w:shd w:val="clear" w:color="auto" w:fill="auto"/>
        <w:bidi w:val="0"/>
        <w:jc w:val="left"/>
        <w:spacing w:before="0" w:after="128" w:line="220" w:lineRule="exact"/>
        <w:ind w:left="43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  <w:bookmarkEnd w:id="0"/>
    </w:p>
    <w:p>
      <w:pPr>
        <w:pStyle w:val="Style5"/>
        <w:tabs>
          <w:tab w:leader="none" w:pos="8165" w:val="right"/>
          <w:tab w:leader="none" w:pos="959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1" w:line="22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04 августа 2022 года</w:t>
        <w:tab/>
        <w:t>г.</w:t>
        <w:tab/>
        <w:t>Архангельск</w:t>
      </w:r>
    </w:p>
    <w:p>
      <w:pPr>
        <w:pStyle w:val="Style24"/>
        <w:tabs>
          <w:tab w:leader="none" w:pos="7358" w:val="left"/>
          <w:tab w:leader="none" w:pos="784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Письмом ФАС России от 03.04.2020</w:t>
        <w:tab/>
        <w:t>№</w:t>
        <w:tab/>
        <w:t>ИА/27903/20 "О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107"/>
        <w:ind w:left="120" w:right="6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 </w:t>
      </w:r>
      <w:r>
        <w:rPr>
          <w:rStyle w:val="CharStyle26"/>
        </w:rPr>
        <w:t>Председатель комиссии:</w:t>
      </w:r>
    </w:p>
    <w:p>
      <w:pPr>
        <w:pStyle w:val="Style24"/>
        <w:tabs>
          <w:tab w:leader="none" w:pos="2285" w:val="left"/>
          <w:tab w:leader="none" w:pos="9596" w:val="right"/>
        </w:tabs>
        <w:widowControl w:val="0"/>
        <w:keepNext w:val="0"/>
        <w:keepLines w:val="0"/>
        <w:shd w:val="clear" w:color="auto" w:fill="auto"/>
        <w:bidi w:val="0"/>
        <w:spacing w:before="0" w:after="80" w:line="22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</w:t>
        <w:tab/>
        <w:t>Заместитель руководителя Управления - начальник отдела</w:t>
        <w:tab/>
        <w:t>контроля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85" w:line="220" w:lineRule="exact"/>
        <w:ind w:left="2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700" w:right="0" w:firstLine="0"/>
      </w:pPr>
      <w:r>
        <w:rPr>
          <w:rStyle w:val="CharStyle18"/>
          <w:b/>
          <w:bCs/>
        </w:rPr>
        <w:t>Члены комиссии:</w:t>
      </w:r>
    </w:p>
    <w:p>
      <w:pPr>
        <w:pStyle w:val="Style24"/>
        <w:tabs>
          <w:tab w:leader="none" w:pos="2285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Титова О.Е.</w:t>
        <w:tab/>
        <w:t>Заместитель начальника отдела контроля закупок;</w:t>
      </w:r>
    </w:p>
    <w:p>
      <w:pPr>
        <w:pStyle w:val="Style24"/>
        <w:tabs>
          <w:tab w:leader="none" w:pos="2285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Поддубная Ю.А.</w:t>
        <w:tab/>
        <w:t>Ведущий специалист-эксперт отдела контроля закупок;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223" w:line="274" w:lineRule="exact"/>
        <w:ind w:left="120" w:right="6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840" w:right="0" w:firstLine="0"/>
      </w:pPr>
      <w:r>
        <w:rPr>
          <w:rStyle w:val="CharStyle18"/>
          <w:b/>
          <w:bCs/>
        </w:rPr>
        <w:t>в присутствии представителей от: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840" w:right="0" w:firstLine="0"/>
      </w:pPr>
      <w:r>
        <w:rPr>
          <w:rStyle w:val="CharStyle27"/>
        </w:rPr>
        <w:t xml:space="preserve">Заявителя: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Пантелеева И.Ю. (паспорт РФ, решение от 29.01.2022 № 12);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840" w:right="0" w:firstLine="0"/>
      </w:pPr>
      <w:r>
        <w:rPr>
          <w:rStyle w:val="CharStyle27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Вишняковой К.А. (доверенность от 02.08.2022 № 006);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840" w:right="0" w:firstLine="0"/>
      </w:pPr>
      <w:r>
        <w:rPr>
          <w:rStyle w:val="CharStyle27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Низовцева Д.Б. (доверенность ото 10.06.2022 №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77-rfflj.q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одп</w:t>
      </w:r>
    </w:p>
    <w:p>
      <w:pPr>
        <w:pStyle w:val="Style28"/>
        <w:tabs>
          <w:tab w:leader="none" w:pos="9101" w:val="right"/>
          <w:tab w:leader="none" w:pos="9293" w:val="right"/>
          <w:tab w:leader="none" w:pos="9653" w:val="right"/>
          <w:tab w:leader="none" w:pos="9667" w:val="right"/>
          <w:tab w:leader="none" w:pos="9854" w:val="right"/>
          <w:tab w:leader="none" w:pos="10037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«Центр документации»; 163000, г. Архангельск, пл. Ленина, д.4,оф.2; ИНН 2901204236; зак. 19, тир. 5000, 27.08.2021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U</w:t>
        <w:tab/>
        <w:t>U</w:t>
        <w:tab/>
        <w:t>J</w:t>
        <w:tab/>
        <w:t>U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Т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U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56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28 июля 2022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"НОВАТЕК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APT"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Заявитель) на действия заказчика - Государственного казенного учреждения Архангельской области "Центр развития туризма и культуры Архангельской области" (далее - Заказчик), Уполномоченного органа - Контрактного агентства Архангельской области (далее - Уполномоченный орган), при проведении открытого конкурса в электронной форме на право заключения контракта на выполнение научно-исследовательской работы по разработке мастер-плана объекта культурного наследия «Новодвинская крепость» Архангельской области (извещение №0124200000622004107).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700"/>
      </w:pPr>
      <w:r>
        <w:rPr>
          <w:rStyle w:val="CharStyle18"/>
          <w:b/>
          <w:bCs/>
        </w:rPr>
        <w:t>Содержание жалобы: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76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Заказчика, Уполномоченного органа в связи с размещением извещения не соответствующего требованиям ФЗ «О контрактной системе».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28.07.2022 № 71.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173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не согласен с доводами Заявителя по основаниям, изложенным в объяснении по жалобе от 03.08.2022 № 314-05-517.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4"/>
        <w:tabs>
          <w:tab w:leader="none" w:pos="9516" w:val="right"/>
        </w:tabs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24"/>
        <w:tabs>
          <w:tab w:leader="none" w:pos="9516" w:val="right"/>
        </w:tabs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24"/>
        <w:tabs>
          <w:tab w:leader="none" w:pos="9516" w:val="right"/>
        </w:tabs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24"/>
        <w:tabs>
          <w:tab w:leader="none" w:pos="9516" w:val="right"/>
        </w:tabs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24"/>
        <w:tabs>
          <w:tab w:leader="none" w:pos="9516" w:val="right"/>
        </w:tabs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188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формирует извещение об осуществлении закупки и организует проведение закупки.</w:t>
      </w:r>
    </w:p>
    <w:p>
      <w:pPr>
        <w:pStyle w:val="Style24"/>
        <w:numPr>
          <w:ilvl w:val="0"/>
          <w:numId w:val="1"/>
        </w:numPr>
        <w:tabs>
          <w:tab w:leader="none" w:pos="2166" w:val="left"/>
        </w:tabs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 0124200000622004107 о проведении открытого конкурса в электронной форме на право заключения контракта на выполнение научно-исследовательской работы по разработке мастер-плана объекта культурного наследия «Новодвинская крепость» Архангельской области (далее - Извещение).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18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- 5 000 000,00 рублей.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ООО «РТС-тендер».</w:t>
      </w:r>
    </w:p>
    <w:p>
      <w:pPr>
        <w:pStyle w:val="Style24"/>
        <w:numPr>
          <w:ilvl w:val="0"/>
          <w:numId w:val="3"/>
        </w:numPr>
        <w:tabs>
          <w:tab w:leader="none" w:pos="1917" w:val="left"/>
        </w:tabs>
        <w:widowControl w:val="0"/>
        <w:keepNext w:val="0"/>
        <w:keepLines w:val="0"/>
        <w:shd w:val="clear" w:color="auto" w:fill="auto"/>
        <w:bidi w:val="0"/>
        <w:spacing w:before="0" w:after="255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внесены изменения в извещение (далее - Изменения).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236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Заявитель в своей жалобе указывает, что Заказчиком не правомерно установлена в Извещении величина значимости критерия «Цена контракта» </w:t>
      </w:r>
      <w:r>
        <w:rPr>
          <w:rStyle w:val="CharStyle38"/>
          <w:i/>
          <w:iCs/>
        </w:rPr>
        <w:t xml:space="preserve">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размере 20%, так как описание объекта закупки не соответствует положениям части 6 статьи 32 ФЗ «О контрактной системе» в части выполнения научно-исследовательских, опытно</w:t>
        <w:softHyphen/>
        <w:t>конструкторских или технологических работ.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И части 1 статьи 42 ФЗ «О контрактной системе» установлено, что извещение должно содержать критерии оценки заявок на участие в конкурсах, величины значимости этих критериев в соответствии с указанным Федеральным законом.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Правительства Российской Федерации от 31.12.2021 № 2604 «Об оценке заявок на участие в закупке товаров, работ, услуг, для обеспечения государственных и муниципальных нужд, внесении изменений в пункт 4 Постановления Правительства Российской федерации от 20 декабря 2021 года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 Положения для оценки заявок применяются следующие критерии оценки: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цена контракта, сумма цен единиц товара, работы, услуги;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расходы;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характеристики объекта закупки;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квалификация участников закупки.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11 Приложения № 2 к Положению об оценке заявок на участие в закупке товаров, работ, услуг для обеспечения государственных и муниципальных нужд в случае, если объектом закупки являются научно-исследовательские, опытно</w:t>
        <w:softHyphen/>
        <w:t>конструкторские, технологические работы предельные величины значимости критериев оценки заявок на участие в закупке товаров, работ, услуг для обеспечения государственных и муниципальных нужд устанавливаются в следующем порядке: минимальная значимость критерия оценки "цена контракта, сумма цен единиц товара, работы, услуги - 20%; максимальная значимость критерия оценки "расходы на эксплуатацию и ремонт товаров, использование результатов работ"-10%;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- 80%.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Одним из приложений к Извещению является Порядок рассмотрения и оценки заявок на участие в конкурсе. Приложением «Порядок рассмотрения и оценки заявок на участие в конкурсе» к Извещению определены критерии и показатели оценки заявок на участие в закупке: критерий «Цена контракта, сумма цен единиц товара, работы, услуги», значимостью критерия оценки 20%; критерий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квалификации», значимостью критерия оценки 80%.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статье 2 Федерального закона от 23.08.1996 № 127-ФЗ "О науке и государственной научно-технической политике" научная (научно-исследовательская) деятельность (далее - научная деятельность) - деятельность, направленная на получение и применение новых знаний, в том числе: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2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623" w:left="1394" w:right="252" w:bottom="91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фундаментальные научные исследования - экспериментальная или теоретическая </w:t>
      </w:r>
      <w:r>
        <w:rPr>
          <w:rStyle w:val="CharStyle39"/>
        </w:rPr>
        <w:t xml:space="preserve">деятельность, направленная на получение новых знаний об основных закономерностях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строения, функционирования и развития человека, общества, окружающей среды;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прикладные научные исследования - исследования, направленные преимущественно на применение новых знаний для достижения практических целей и решения конкретных задач;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поисковые научные исследования - исследования, направленные на получение новых знаний в целях их последующего практического применения (ориентированные научные исследования) и (или) на применение новых знаний (прикладные научные </w:t>
      </w:r>
      <w:r>
        <w:rPr>
          <w:rStyle w:val="CharStyle39"/>
        </w:rPr>
        <w:t>исследования) и проводимые путем выполнения научно-исследовательских работ.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Научно-техническая деятельность - деятельность, направленная на получение, применение новых знаний для решения технологических, инженерных, экономических, социальных, гуманитарных и иных проблем, обеспечения функционирования науки, техники и производства как единой системы.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Научный и (или) научно-технический результат - продукт научной и (или) научно- технической деятельности, содержащий новые знания или решения и зафиксированный на любом информационном носителе.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Научная и (или) научно-техническая продукция - научный и (или) научно- технический результат, в том числе результат интеллектуальной деятельности, предназначенный для реализации.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1.1 проекта контракта, входящего в состав Извещения, Исполнитель по заданию Заказчика обязуется выполнить научно-исследовательскую работу по разработке мастер-плана объекта культурного наследия «Новодвинская крепость» Архангельской области (далее - Работы) и передать полученные при выполнении Работ результаты в порядке и на условиях, предусмотренных Контрактом.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разделом 10 «Результаты работ» файла «Описание объекта закупки» результаты Работ включают в себя:</w:t>
      </w:r>
    </w:p>
    <w:p>
      <w:pPr>
        <w:pStyle w:val="Style2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Отчет о прикладной научно-исследовательской работе в соответствии с пунктом 8 указанного раздела, включая текстовые, табличные и графические материалы.</w:t>
      </w:r>
    </w:p>
    <w:p>
      <w:pPr>
        <w:pStyle w:val="Style2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Презентацию результатов работы для руководящих сотрудников в соответствии с пунктом 8 указанного раздела.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разделу 9 «Требования к результатам работ» файла «Описание объекта закупки» подготовку документации необходимо осуществлять в объеме и степени детализации, предусмотренной требованиями указанного раздела и действующими нормативными документами Российской Федерации.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ГОСТ Р 15.101-2021. «Национальный стандарт Российской Федерации. Система разработки и постановки продукции на производство. Порядок выполнения научно-исследовательских работ» типовые этапы выполнения прикладных научно-исследовательских работ включают в себя: выбор направления исследований; формулировка цели и задач исследования; моделирование; экспериментальные исследования; анализ, обобщение, оценка результатов исследований; внедрение результатов и определение экономической эффективности.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Файл «Описание объекта закупки», являющийся неотъемлемой частью Извещения, содержит таблицу в которой определены характеристики объекта закупки, в том числе в разделах 6 и 7 определены цели и задачи выполнения работ. Разделом 8 определен состав работ, который включает в себя в том числе: изучение существующей среды и объектов, определяющих основные качества исследуемого объекта; формулирование вариантов оптимального использования территории, выводы и рекомендации; формирование основных сценариев развития крепости с учетом исторического, экономического, социального и природного потенциала, стандартов качества туристических сервисов, бренд позиционирования; разработка мастер-плана, а так же предложения по реализации мастер- плана, в том числе ключевые направления коммерческой активности и инвестиционной привлекательности.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20"/>
      </w:pPr>
      <w:r>
        <w:rPr>
          <w:rStyle w:val="CharStyle40"/>
        </w:rPr>
        <w:t xml:space="preserve">Проанализировав материалы дела, Комиссия Архангельского УФАС России приходит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 выводу, что описание объекта закупки предполагает проведение прикладных научных исследований в целях разработки мастер-плана объекта культурного наследия «Новодвинская крепость».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не представлено доказательств обратного в подтверждение своих доводов.</w:t>
      </w:r>
      <w:r>
        <w:br w:type="page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Заказчиком правомерно установлены критерии и показатели оценки заявок на участие в закупке в соответствии с Положением.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74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является необоснованным.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279" w:line="26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8" w:line="220" w:lineRule="exact"/>
        <w:ind w:left="4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721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1. Признать жалобу ООО "НОВАТЕК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APT"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необоснованной.</w: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  <w:sectPr>
          <w:headerReference w:type="even" r:id="rId9"/>
          <w:headerReference w:type="default" r:id="rId10"/>
          <w:headerReference w:type="first" r:id="rId11"/>
          <w:titlePg/>
          <w:footnotePr>
            <w:pos w:val="pageBottom"/>
            <w:numFmt w:val="decimal"/>
            <w:numRestart w:val="continuous"/>
          </w:footnotePr>
          <w:pgSz w:w="11909" w:h="16838"/>
          <w:pgMar w:top="623" w:left="1394" w:right="252" w:bottom="917" w:header="0" w:footer="3" w:gutter="0"/>
          <w:rtlGutter w:val="0"/>
          <w:cols w:space="720"/>
          <w:noEndnote/>
          <w:docGrid w:linePitch="360"/>
        </w:sectPr>
      </w:pPr>
      <w:r>
        <w:rPr>
          <w:rStyle w:val="CharStyle43"/>
          <w:i/>
          <w:iCs/>
        </w:rPr>
        <w:t>Примечание.</w:t>
      </w:r>
      <w:r>
        <w:rPr>
          <w:rStyle w:val="CharStyle44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45"/>
        <w:framePr w:w="277" w:h="124" w:wrap="none" w:vAnchor="text" w:hAnchor="margin" w:x="8659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/</w:t>
      </w:r>
    </w:p>
    <w:p>
      <w:pPr>
        <w:framePr w:h="384" w:wrap="none" w:vAnchor="text" w:hAnchor="margin" w:x="6755" w:y="97"/>
        <w:widowControl w:val="0"/>
        <w:jc w:val="center"/>
        <w:rPr>
          <w:sz w:val="2"/>
          <w:szCs w:val="2"/>
        </w:rPr>
      </w:pPr>
      <w:r>
        <w:pict>
          <v:shape id="_x0000_s1032" type="#_x0000_t75" style="width:99pt;height:19pt;">
            <v:imagedata r:id="rId12" r:href="rId13"/>
          </v:shape>
        </w:pict>
      </w:r>
    </w:p>
    <w:p>
      <w:pPr>
        <w:pStyle w:val="Style5"/>
        <w:framePr w:w="2792" w:h="206" w:wrap="none" w:vAnchor="text" w:hAnchor="margin" w:x="1425" w:y="12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6"/>
          <w:b/>
          <w:bCs/>
          <w:spacing w:val="0"/>
        </w:rPr>
        <w:t>Председатель Комиссии</w:t>
      </w:r>
    </w:p>
    <w:p>
      <w:pPr>
        <w:pStyle w:val="Style5"/>
        <w:framePr w:w="2058" w:h="203" w:wrap="none" w:vAnchor="text" w:hAnchor="margin" w:x="1420" w:y="65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6"/>
          <w:b/>
          <w:bCs/>
          <w:spacing w:val="0"/>
        </w:rPr>
        <w:t>Члены Комиссии</w:t>
      </w:r>
    </w:p>
    <w:p>
      <w:pPr>
        <w:pStyle w:val="Style5"/>
        <w:framePr w:w="1947" w:h="746" w:wrap="none" w:vAnchor="text" w:hAnchor="margin" w:x="9177" w:y="145"/>
        <w:widowControl w:val="0"/>
        <w:keepNext w:val="0"/>
        <w:keepLines w:val="0"/>
        <w:shd w:val="clear" w:color="auto" w:fill="auto"/>
        <w:bidi w:val="0"/>
        <w:spacing w:before="0" w:after="273" w:line="200" w:lineRule="exact"/>
        <w:ind w:left="0" w:right="120" w:firstLine="0"/>
      </w:pPr>
      <w:r>
        <w:rPr>
          <w:rStyle w:val="CharStyle6"/>
          <w:b/>
          <w:bCs/>
          <w:spacing w:val="0"/>
        </w:rPr>
        <w:t>О.С. Малышева</w:t>
      </w:r>
    </w:p>
    <w:p>
      <w:pPr>
        <w:pStyle w:val="Style5"/>
        <w:framePr w:w="1947" w:h="746" w:wrap="none" w:vAnchor="text" w:hAnchor="margin" w:x="9177" w:y="145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120" w:firstLine="0"/>
      </w:pPr>
      <w:r>
        <w:rPr>
          <w:rStyle w:val="CharStyle6"/>
          <w:b/>
          <w:bCs/>
          <w:spacing w:val="0"/>
        </w:rPr>
        <w:t>О.Е. Титова</w:t>
      </w:r>
    </w:p>
    <w:p>
      <w:pPr>
        <w:widowControl w:val="0"/>
        <w:spacing w:line="360" w:lineRule="exact"/>
      </w:pPr>
    </w:p>
    <w:p>
      <w:pPr>
        <w:widowControl w:val="0"/>
        <w:spacing w:line="482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282" w:left="252" w:right="252" w:bottom="282" w:header="0" w:footer="3" w:gutter="0"/>
          <w:rtlGutter w:val="0"/>
          <w:cols w:space="720"/>
          <w:noEndnote/>
          <w:docGrid w:linePitch="360"/>
        </w:sectPr>
      </w:pPr>
    </w:p>
    <w:p>
      <w:pPr>
        <w:framePr w:w="768" w:h="566" w:wrap="notBeside" w:vAnchor="text" w:hAnchor="text" w:y="222"/>
        <w:widowControl w:val="0"/>
        <w:rPr>
          <w:sz w:val="2"/>
          <w:szCs w:val="2"/>
        </w:rPr>
      </w:pPr>
      <w:r>
        <w:pict>
          <v:shape id="_x0000_s1033" type="#_x0000_t75" style="width:38pt;height:28pt;">
            <v:imagedata r:id="rId14" r:href="rId15"/>
          </v:shape>
        </w:pict>
      </w:r>
    </w:p>
    <w:p>
      <w:pPr>
        <w:pStyle w:val="Style47"/>
        <w:framePr w:w="182" w:h="300" w:wrap="notBeside" w:vAnchor="text" w:hAnchor="text" w:x="366" w:y="-28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/</w:t>
      </w:r>
    </w:p>
    <w:p>
      <w:pPr>
        <w:pStyle w:val="Style49"/>
        <w:framePr w:w="1771" w:h="233" w:wrap="notBeside" w:vAnchor="text" w:hAnchor="text" w:x="1076" w:y="26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Ю.А. Поддубная</w: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sectPr>
      <w:type w:val="continuous"/>
      <w:pgSz w:w="11909" w:h="16838"/>
      <w:pgMar w:top="4577" w:left="7800" w:right="1253" w:bottom="427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81.7pt;margin-top:20.1pt;width:476.15pt;height:10.3pt;z-index:-188744064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0"/>
                  <w:tabs>
                    <w:tab w:leader="none" w:pos="9523" w:val="right"/>
                  </w:tabs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2"/>
                  </w:rPr>
                  <w:tab/>
                </w:r>
                <w:r>
                  <w:rPr>
                    <w:rStyle w:val="CharStyle33"/>
                  </w:rPr>
                  <w:t>§</w:t>
                </w:r>
                <w:r>
                  <w:rPr>
                    <w:rStyle w:val="CharStyle34"/>
                  </w:rPr>
                  <w:t>2/5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547.3pt;margin-top:16.75pt;width:16.8pt;height:8.4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2"/>
                  </w:rPr>
                  <w:t xml:space="preserve">® </w:t>
                </w:r>
                <w:r>
                  <w:rPr>
                    <w:rStyle w:val="CharStyle35"/>
                  </w:rPr>
                  <w:t>3/5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547.1pt;margin-top:18.2pt;width:17.05pt;height:7.7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2"/>
                  </w:rPr>
                  <w:t>®</w:t>
                </w:r>
                <w:r>
                  <w:rPr>
                    <w:rStyle w:val="CharStyle35"/>
                  </w:rPr>
                  <w:t>5/5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547.1pt;margin-top:18.2pt;width:17.05pt;height:7.7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2"/>
                  </w:rPr>
                  <w:t>®</w:t>
                </w:r>
                <w:r>
                  <w:rPr>
                    <w:rStyle w:val="CharStyle35"/>
                  </w:rPr>
                  <w:t>5/5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1" type="#_x0000_t202" style="position:absolute;margin-left:453.7pt;margin-top:23.45pt;width:104.4pt;height:11.3pt;z-index:-188744060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0"/>
                  <w:tabs>
                    <w:tab w:leader="none" w:pos="2088" w:val="right"/>
                  </w:tabs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2"/>
                  </w:rPr>
                  <w:tab/>
                  <w:t>§</w:t>
                </w:r>
                <w:r>
                  <w:rPr>
                    <w:rStyle w:val="CharStyle35"/>
                  </w:rPr>
                  <w:t>4/5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13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2"/>
      <w:numFmt w:val="decimal"/>
      <w:lvlText w:val="14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9"/>
    </w:rPr>
  </w:style>
  <w:style w:type="character" w:customStyle="1" w:styleId="CharStyle6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5"/>
    </w:rPr>
  </w:style>
  <w:style w:type="character" w:customStyle="1" w:styleId="CharStyle8">
    <w:name w:val="Основной текст (6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10">
    <w:name w:val="Основной текст (7) Exact"/>
    <w:basedOn w:val="DefaultParagraphFont"/>
    <w:link w:val="Style9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66"/>
      <w:spacing w:val="2"/>
    </w:rPr>
  </w:style>
  <w:style w:type="character" w:customStyle="1" w:styleId="CharStyle11">
    <w:name w:val="Основной текст (7) + 11 pt,Не курсив,Интервал -1 pt,Масштаб 100% Exact"/>
    <w:basedOn w:val="CharStyle10"/>
    <w:rPr>
      <w:lang w:val="ru-RU" w:eastAsia="ru-RU" w:bidi="ru-RU"/>
      <w:i/>
      <w:iCs/>
      <w:sz w:val="22"/>
      <w:szCs w:val="22"/>
      <w:w w:val="100"/>
      <w:spacing w:val="-32"/>
      <w:color w:val="000000"/>
      <w:position w:val="0"/>
    </w:rPr>
  </w:style>
  <w:style w:type="character" w:customStyle="1" w:styleId="CharStyle13">
    <w:name w:val="Основной текст (8) Exact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8"/>
      <w:szCs w:val="18"/>
      <w:rFonts w:ascii="Lucida Sans Unicode" w:eastAsia="Lucida Sans Unicode" w:hAnsi="Lucida Sans Unicode" w:cs="Lucida Sans Unicode"/>
    </w:rPr>
  </w:style>
  <w:style w:type="character" w:customStyle="1" w:styleId="CharStyle15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5"/>
    </w:rPr>
  </w:style>
  <w:style w:type="character" w:customStyle="1" w:styleId="CharStyle16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Основной текст (3)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9">
    <w:name w:val="Основной текст (3) + 9,5 pt"/>
    <w:basedOn w:val="CharStyle17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20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1">
    <w:name w:val="Основной текст (2)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3">
    <w:name w:val="Заголовок №1_"/>
    <w:basedOn w:val="DefaultParagraphFont"/>
    <w:link w:val="Style22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5">
    <w:name w:val="Основной текст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6">
    <w:name w:val="Основной текст + Полужирный"/>
    <w:basedOn w:val="CharStyle25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7">
    <w:name w:val="Основной текст + Полужирный"/>
    <w:basedOn w:val="CharStyle2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9">
    <w:name w:val="Основной текст (5)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31">
    <w:name w:val="Колонтитул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32">
    <w:name w:val="Колонтитул + 10 pt,Полужирный"/>
    <w:basedOn w:val="CharStyle31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33">
    <w:name w:val="Колонтитул + 10 pt,Полужирный"/>
    <w:basedOn w:val="CharStyle31"/>
    <w:rPr>
      <w:lang w:val="ru-RU" w:eastAsia="ru-RU" w:bidi="ru-RU"/>
      <w:b/>
      <w:bCs/>
      <w:u w:val="single"/>
      <w:sz w:val="20"/>
      <w:szCs w:val="20"/>
      <w:w w:val="100"/>
      <w:spacing w:val="0"/>
      <w:color w:val="000000"/>
      <w:position w:val="0"/>
    </w:rPr>
  </w:style>
  <w:style w:type="character" w:customStyle="1" w:styleId="CharStyle34">
    <w:name w:val="Колонтитул"/>
    <w:basedOn w:val="CharStyle3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5">
    <w:name w:val="Колонтитул"/>
    <w:basedOn w:val="CharStyle3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7">
    <w:name w:val="Основной текст (9)_"/>
    <w:basedOn w:val="DefaultParagraphFont"/>
    <w:link w:val="Style36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8">
    <w:name w:val="Основной текст (9) + 11 pt"/>
    <w:basedOn w:val="CharStyle37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39">
    <w:name w:val="Основной текст + 11,5 pt"/>
    <w:basedOn w:val="CharStyle25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40">
    <w:name w:val="Основной текст (4) + 11,5 pt"/>
    <w:basedOn w:val="CharStyle20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42">
    <w:name w:val="Основной текст (10)_"/>
    <w:basedOn w:val="DefaultParagraphFont"/>
    <w:link w:val="Style41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43">
    <w:name w:val="Основной текст (10) + Полужирный"/>
    <w:basedOn w:val="CharStyle42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44">
    <w:name w:val="Основной текст (10) + Полужирный"/>
    <w:basedOn w:val="CharStyle4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6">
    <w:name w:val="Основной текст (11) Exact"/>
    <w:basedOn w:val="DefaultParagraphFont"/>
    <w:link w:val="Style45"/>
    <w:rPr>
      <w:b w:val="0"/>
      <w:bCs w:val="0"/>
      <w:i w:val="0"/>
      <w:iCs w:val="0"/>
      <w:u w:val="none"/>
      <w:strike w:val="0"/>
      <w:smallCaps w:val="0"/>
      <w:sz w:val="14"/>
      <w:szCs w:val="14"/>
      <w:rFonts w:ascii="Consolas" w:eastAsia="Consolas" w:hAnsi="Consolas" w:cs="Consolas"/>
    </w:rPr>
  </w:style>
  <w:style w:type="character" w:customStyle="1" w:styleId="CharStyle48">
    <w:name w:val="Подпись к картинке (2)_"/>
    <w:basedOn w:val="DefaultParagraphFont"/>
    <w:link w:val="Style47"/>
    <w:rPr>
      <w:b w:val="0"/>
      <w:bCs w:val="0"/>
      <w:i w:val="0"/>
      <w:iCs w:val="0"/>
      <w:u w:val="none"/>
      <w:strike w:val="0"/>
      <w:smallCaps w:val="0"/>
      <w:sz w:val="30"/>
      <w:szCs w:val="30"/>
      <w:rFonts w:ascii="Consolas" w:eastAsia="Consolas" w:hAnsi="Consolas" w:cs="Consolas"/>
    </w:rPr>
  </w:style>
  <w:style w:type="character" w:customStyle="1" w:styleId="CharStyle50">
    <w:name w:val="Подпись к картинке_"/>
    <w:basedOn w:val="DefaultParagraphFont"/>
    <w:link w:val="Style4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16"/>
    <w:pPr>
      <w:widowControl w:val="0"/>
      <w:shd w:val="clear" w:color="auto" w:fill="FFFFFF"/>
      <w:spacing w:after="180" w:line="245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17"/>
    <w:pPr>
      <w:widowControl w:val="0"/>
      <w:shd w:val="clear" w:color="auto" w:fill="FFFFFF"/>
      <w:jc w:val="right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FFFFFF"/>
      <w:jc w:val="center"/>
      <w:spacing w:before="180" w:line="221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paragraph" w:customStyle="1" w:styleId="Style9">
    <w:name w:val="Основной текст (7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66"/>
      <w:spacing w:val="2"/>
    </w:rPr>
  </w:style>
  <w:style w:type="paragraph" w:customStyle="1" w:styleId="Style12">
    <w:name w:val="Основной текст (8)"/>
    <w:basedOn w:val="Normal"/>
    <w:link w:val="CharStyle1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Lucida Sans Unicode" w:eastAsia="Lucida Sans Unicode" w:hAnsi="Lucida Sans Unicode" w:cs="Lucida Sans Unicode"/>
    </w:rPr>
  </w:style>
  <w:style w:type="paragraph" w:customStyle="1" w:styleId="Style14">
    <w:name w:val="Основной текст (4)"/>
    <w:basedOn w:val="Normal"/>
    <w:link w:val="CharStyle20"/>
    <w:pPr>
      <w:widowControl w:val="0"/>
      <w:shd w:val="clear" w:color="auto" w:fill="FFFFFF"/>
      <w:jc w:val="both"/>
      <w:spacing w:after="180" w:line="250" w:lineRule="exact"/>
      <w:ind w:hanging="256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FFFFFF"/>
      <w:outlineLvl w:val="0"/>
      <w:spacing w:before="300" w:after="18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4">
    <w:name w:val="Основной текст"/>
    <w:basedOn w:val="Normal"/>
    <w:link w:val="CharStyle25"/>
    <w:pPr>
      <w:widowControl w:val="0"/>
      <w:shd w:val="clear" w:color="auto" w:fill="FFFFFF"/>
      <w:jc w:val="both"/>
      <w:spacing w:before="180" w:line="27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30">
    <w:name w:val="Колонтитул"/>
    <w:basedOn w:val="Normal"/>
    <w:link w:val="CharStyle31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6">
    <w:name w:val="Основной текст (9)"/>
    <w:basedOn w:val="Normal"/>
    <w:link w:val="CharStyle37"/>
    <w:pPr>
      <w:widowControl w:val="0"/>
      <w:shd w:val="clear" w:color="auto" w:fill="FFFFFF"/>
      <w:jc w:val="both"/>
      <w:spacing w:before="360" w:after="240" w:line="274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41">
    <w:name w:val="Основной текст (10)"/>
    <w:basedOn w:val="Normal"/>
    <w:link w:val="CharStyle42"/>
    <w:pPr>
      <w:widowControl w:val="0"/>
      <w:shd w:val="clear" w:color="auto" w:fill="FFFFFF"/>
      <w:jc w:val="both"/>
      <w:spacing w:before="780" w:line="216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45">
    <w:name w:val="Основной текст (11)"/>
    <w:basedOn w:val="Normal"/>
    <w:link w:val="CharStyle4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Consolas" w:eastAsia="Consolas" w:hAnsi="Consolas" w:cs="Consolas"/>
    </w:rPr>
  </w:style>
  <w:style w:type="paragraph" w:customStyle="1" w:styleId="Style47">
    <w:name w:val="Подпись к картинке (2)"/>
    <w:basedOn w:val="Normal"/>
    <w:link w:val="CharStyle4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Consolas" w:eastAsia="Consolas" w:hAnsi="Consolas" w:cs="Consolas"/>
    </w:rPr>
  </w:style>
  <w:style w:type="paragraph" w:customStyle="1" w:styleId="Style49">
    <w:name w:val="Подпись к картинке"/>
    <w:basedOn w:val="Normal"/>
    <w:link w:val="CharStyle50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/Relationships>
</file>