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87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8pt;height:54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494" w:left="2728" w:right="8222" w:bottom="523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33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150" w:wrap="around" w:vAnchor="text" w:hAnchor="margin" w:x="1861" w:y="2991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7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55" w:line="25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2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Вот 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to34igras.gov.ru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111" w:line="280" w:lineRule="exact"/>
        <w:ind w:left="20" w:right="0" w:firstLine="0"/>
      </w:pPr>
      <w:bookmarkStart w:id="0" w:name="bookmark0"/>
      <w:r>
        <w:rPr>
          <w:rStyle w:val="CharStyle11"/>
          <w:i/>
          <w:iCs/>
        </w:rPr>
        <w:t>ог.р&lt;?,Лоя£</w:t>
      </w:r>
      <w:r>
        <w:rPr>
          <w:rStyle w:val="CharStyle12"/>
          <w:i w:val="0"/>
          <w:iCs w:val="0"/>
        </w:rPr>
        <w:t xml:space="preserve"> </w:t>
      </w:r>
      <w:r>
        <w:rPr>
          <w:rStyle w:val="CharStyle13"/>
          <w:i w:val="0"/>
          <w:iCs w:val="0"/>
        </w:rPr>
        <w:t xml:space="preserve">л» </w:t>
      </w:r>
      <w:r>
        <w:rPr>
          <w:rStyle w:val="CharStyle14"/>
          <w:i/>
          <w:iCs/>
        </w:rPr>
        <w:t>0Л-9!55Уъ</w:t>
      </w:r>
      <w:bookmarkEnd w:id="0"/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На №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«Новатика» ул. Почтовая, д. 69,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8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Батайск, Ростовская обл., 346880 </w:t>
      </w:r>
      <w:r>
        <w:fldChar w:fldCharType="begin"/>
      </w:r>
      <w:r>
        <w:rPr>
          <w:color w:val="000000"/>
        </w:rPr>
        <w:instrText> HYPERLINK "mailto:info@novatika.biz"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info@novatika.biz</w:t>
      </w:r>
      <w:r>
        <w:fldChar w:fldCharType="end"/>
      </w:r>
    </w:p>
    <w:p>
      <w:pPr>
        <w:pStyle w:val="Style21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0" w:firstLine="0"/>
      </w:pPr>
      <w:bookmarkStart w:id="1" w:name="bookmark1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  <w:bookmarkEnd w:id="1"/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Государственное казенное учреждение Волгоградской области «Дирекция по материально-техническому и хозяйственному обеспечению деятельности мировых судей» ул. Рабоче-Крестьянская, д. 16,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37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400005 </w:t>
      </w:r>
      <w:r>
        <w:fldChar w:fldCharType="begin"/>
      </w:r>
      <w:r>
        <w:rPr>
          <w:color w:val="000000"/>
        </w:rPr>
        <w:instrText> HYPERLINK "mailto:post_mto@volganet.ru"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post_mto@volganet.ru</w:t>
      </w:r>
      <w:r>
        <w:fldChar w:fldCharType="end"/>
      </w:r>
    </w:p>
    <w:p>
      <w:pPr>
        <w:pStyle w:val="Style21"/>
        <w:widowControl w:val="0"/>
        <w:keepNext/>
        <w:keepLines/>
        <w:shd w:val="clear" w:color="auto" w:fill="auto"/>
        <w:bidi w:val="0"/>
        <w:jc w:val="left"/>
        <w:spacing w:before="0" w:after="0" w:line="299" w:lineRule="exact"/>
        <w:ind w:left="20" w:right="0" w:firstLine="0"/>
      </w:pPr>
      <w:bookmarkStart w:id="2" w:name="bookmark2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Уполномоченное учреждение:</w:t>
      </w:r>
      <w:bookmarkEnd w:id="2"/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ГКУ ВО «Центр организации закупок» ул. Новороссийская, д. 15,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21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0" w:firstLine="0"/>
      </w:pPr>
      <w:bookmarkStart w:id="3" w:name="bookmark3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  <w:bookmarkEnd w:id="3"/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ЭТП «Фабрикант» ул. Тестовская, д. 10,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  <w:sectPr>
          <w:type w:val="continuous"/>
          <w:pgSz w:w="11909" w:h="16838"/>
          <w:pgMar w:top="509" w:left="1234" w:right="1299" w:bottom="538" w:header="0" w:footer="3" w:gutter="0"/>
          <w:rtlGutter w:val="0"/>
          <w:cols w:num="2" w:space="720" w:equalWidth="0">
            <w:col w:w="3985" w:space="511"/>
            <w:col w:w="4878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115114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6" w:after="4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287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034/06/106-805/2022 о нарушении законодательства о контрактной системе</w:t>
      </w:r>
    </w:p>
    <w:p>
      <w:pPr>
        <w:pStyle w:val="Style19"/>
        <w:tabs>
          <w:tab w:leader="none" w:pos="934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августа 2022 года</w:t>
        <w:tab/>
        <w:t>Волгоград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Волгоградское УФАС России, Управление) по контролю за соблюдением законодательства о контрактной системе в составе: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 С.В. - член Комиссии, заместитель начальника отдела контроля государственных и муниципальных закупок, недобросовестной конкуренции и рекламы;</w:t>
      </w:r>
      <w:r>
        <w:br w:type="page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Любимова И.И. - представителя ГКУ ВО «Дирекция по материально- техническому и хозяйственному обеспечению деятельности мировых судей» на основании доверенности от 27.05.2022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Арефьева Д.В. - представителя ГКУ ВО «Центр организации закупок» на основании доверенности от 26.05.2022,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87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«Новатика» на положения извещения закупки «Поставка системных блоков» (номер извещения 0329200062222004435),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26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 ФАС России с использованием Единой информационной системы (далее - ЕИС) поступила жалоба ООО «Новатика» (далее - Заявитель) на положения извещения закупки «Поставка системных блоков» (номер извещения 0329200062222004435).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пришла к следующим выводам.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официальном сайте ЕИС 15.07.2022 было размещено извещение об осуществлении закупки «Поставка системных блоков» (номер извещения 0329200062222004435). Начальная (максимальная) цена контракта - 998 860,00 рублей (далее - НМЦК).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извещение о проведении закупки составлено заказчиком с нарушением норм Закона о контрактной системе.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ч. 3 ст. 33 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Данному положению Закона о контрактной системе не соответствуют следующие требования приложения к извещению «Описание объекта закупки», на которые ссылается Заявитель: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«Наличие запчастей на складе изготовителя - не менее 5 лет с момента снятия оборудования с производства»;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«Наличие у исполнителя оборудования не менее одного сервисного центра на территории города Волгограда или Волгоградской области для быстрого реагирования и обслуживания заказчика в случае возникновения гарантийного случая, для минимизации рисков длительных простоев в работе заказчика»;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«Исполнитель должен иметь действующий сертификат от производителя оборудования подтверждающий его официальное партнерство».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настоящем случае, указанные требования не относятся к описанию объекта закупки, а являются требованиями к изготовителю, производителю товара, а также наличию у участников закупки производственных мощностей, технологического оборудования, трудовых, финансовых и других ресурсов.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 в извещении о проведении закупки установлены ненадлежащие требования и не относящиеся к описанию объекта закупки, что является нарушением ч. 3 ст. 33 Закона о контрактной системе.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довод жалобы является обоснованным.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Также, по мнению Заявителя заказчик неправомерно установил в извещении следующее требование: «В течении 12 месяцев с момента поставки оборудования с бесплатным выездом инженера на место эксплуатации. Наличие круглосуточной удаленной технической поддержки производителем по выделенной телефонной линии с возможностью бесплатного звонка без тарификации междугороднего соединения».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части данного довода Комиссия установила следующее.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п. 5 ч. 4 ст. 105 Закона о контрактной системе при проведении электронных процедур жалоба может быть подана в контрольные органы в сфере закупок, предусмотренные частью 3 настоящей статьи, исключительно с использованием единой информационной системы путем формирования и размещения в этой системе указания на обжалуемые действия (бездействие) субъекта (субъектов) контроля, </w:t>
      </w:r>
      <w:r>
        <w:rPr>
          <w:rStyle w:val="CharStyle26"/>
        </w:rPr>
        <w:t>доводы жалобы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настоящем случае жалоба не содержит фактических доводов и доказательств, указывающих и подтверждающих то, что данное требование является неправомерным и противоречащим Закону о контрактной системе.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этом Заявитель не указывает какие именно нормы Закона о контрактной системе нарушены заказчиком в части данного требования, в связи с чем довод является необоснованным.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жалоба ООО «Новатика» на положения извещения закупки «Поставка системных блоков» (номер извещения 0329200062222004435) является частично обоснованной в части довода о ненадлежащих требованиях извещения: «Наличие запчастей на складе изготовителя - не менее 5 лет с момента снятия оборудования с производства»; «Наличие у исполнителя оборудования не менее одного сервисного центра на территории города Волгограда или Волгоградской области для быстрого реагирования и обслуживания заказчика в случае возникновения гарантийного случая, для минимизации рисков длительных простоев в работе заказчика»; «Исполнитель должен иметь действующий сертификат от производителя оборудования подтверждающий его официальное партнерство».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отмечает, что на участие в закупке было подано 11 заявок, 10 из которых были признаны советующими требованиям извещения. По итогам проведения данной закупки НМЦК снижена с 998 860,00 руб., до 550 113, 90 руб.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 отсутствуют доказательства, что указанное нарушение повлияло на результаты определения поставщика. Таким образом у Комиссии отсутствуют основания для выдачи обязательного для исполнения предписания.</w:t>
      </w:r>
      <w:r>
        <w:br w:type="page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84" w:line="295" w:lineRule="exact"/>
        <w:ind w:left="6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43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«Новатика» на положения извещения закупки «Поставка системных блоков» (номер извещения 0329200062222004435) частично обоснованной в части довода о ненадлежащих требованиях извещения: «Наличие запчастей на складе изготовителя - не менее 5 лет с момента снятия оборудования с производства»; «Наличие у исполнителя оборудования не менее одного сервисного центра на территории города Волгограда или Волгоградской области для быстрого реагирования и обслуживания заказчика в случае возникновения гарантийного случая, для минимизации рисков длительных простоев в работе заказчика»; «Исполнитель должен иметь действующий сертификат от производителя оборудования подтверждающий его официальное партнерство».</w: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6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Заказчика признать нарушившим ч. 3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framePr w:h="2264" w:wrap="around" w:vAnchor="text" w:hAnchor="margin" w:x="4357" w:y="545"/>
        <w:widowControl w:val="0"/>
        <w:jc w:val="center"/>
        <w:rPr>
          <w:sz w:val="2"/>
          <w:szCs w:val="2"/>
        </w:rPr>
      </w:pPr>
      <w:r>
        <w:pict>
          <v:shape id="_x0000_s1028" type="#_x0000_t75" style="width:246pt;height:113pt;">
            <v:imagedata r:id="rId8" r:href="rId9"/>
          </v:shape>
        </w:pict>
      </w:r>
    </w:p>
    <w:p>
      <w:pPr>
        <w:pStyle w:val="Style1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887"/>
        <w:ind w:left="6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Обязательное для исполнения предписание не выдавать.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304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728" w:line="240" w:lineRule="exact"/>
        <w:ind w:left="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60" w:right="1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 А.А. (8442) 24 22 64</w:t>
      </w:r>
    </w:p>
    <w:sectPr>
      <w:type w:val="continuous"/>
      <w:pgSz w:w="11909" w:h="16838"/>
      <w:pgMar w:top="1108" w:left="1337" w:right="1164" w:bottom="71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01.4pt;margin-top:35.pt;width:4.15pt;height:7.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3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5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3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 w:val="0"/>
      <w:bCs w:val="0"/>
      <w:i/>
      <w:iCs/>
      <w:u w:val="none"/>
      <w:strike w:val="0"/>
      <w:smallCaps w:val="0"/>
      <w:sz w:val="28"/>
      <w:szCs w:val="28"/>
      <w:rFonts w:ascii="Segoe UI" w:eastAsia="Segoe UI" w:hAnsi="Segoe UI" w:cs="Segoe UI"/>
    </w:rPr>
  </w:style>
  <w:style w:type="character" w:customStyle="1" w:styleId="CharStyle11">
    <w:name w:val="Заголовок №1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Заголовок №1 + Sylfaen,13 pt,Не курсив,Интервал -2 pt"/>
    <w:basedOn w:val="CharStyle10"/>
    <w:rPr>
      <w:lang w:val="ru-RU" w:eastAsia="ru-RU" w:bidi="ru-RU"/>
      <w:i/>
      <w:iCs/>
      <w:sz w:val="26"/>
      <w:szCs w:val="26"/>
      <w:rFonts w:ascii="Sylfaen" w:eastAsia="Sylfaen" w:hAnsi="Sylfaen" w:cs="Sylfaen"/>
      <w:w w:val="100"/>
      <w:spacing w:val="-40"/>
      <w:color w:val="000000"/>
      <w:position w:val="0"/>
    </w:rPr>
  </w:style>
  <w:style w:type="character" w:customStyle="1" w:styleId="CharStyle13">
    <w:name w:val="Заголовок №1 + Sylfaen,13 pt,Не курсив,Интервал -2 pt"/>
    <w:basedOn w:val="CharStyle10"/>
    <w:rPr>
      <w:lang w:val="ru-RU" w:eastAsia="ru-RU" w:bidi="ru-RU"/>
      <w:i/>
      <w:iCs/>
      <w:sz w:val="26"/>
      <w:szCs w:val="26"/>
      <w:rFonts w:ascii="Sylfaen" w:eastAsia="Sylfaen" w:hAnsi="Sylfaen" w:cs="Sylfaen"/>
      <w:w w:val="100"/>
      <w:spacing w:val="-40"/>
      <w:color w:val="000000"/>
      <w:position w:val="0"/>
    </w:rPr>
  </w:style>
  <w:style w:type="character" w:customStyle="1" w:styleId="CharStyle14">
    <w:name w:val="Заголовок №1 + Малые прописные"/>
    <w:basedOn w:val="CharStyle10"/>
    <w:rPr>
      <w:lang w:val="ru-RU" w:eastAsia="ru-RU" w:bidi="ru-RU"/>
      <w:u w:val="single"/>
      <w:smallCaps/>
      <w:w w:val="100"/>
      <w:spacing w:val="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  <w:spacing w:val="-10"/>
    </w:rPr>
  </w:style>
  <w:style w:type="character" w:customStyle="1" w:styleId="CharStyle18">
    <w:name w:val="Основной текст (5)_"/>
    <w:basedOn w:val="DefaultParagraphFont"/>
    <w:link w:val="Style1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Заголовок №2_"/>
    <w:basedOn w:val="DefaultParagraphFont"/>
    <w:link w:val="Style2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4">
    <w:name w:val="Колонтитул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5">
    <w:name w:val="Колонтитул"/>
    <w:basedOn w:val="CharStyle2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20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-3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4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20" w:after="18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180" w:after="18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Segoe UI" w:eastAsia="Segoe UI" w:hAnsi="Segoe UI" w:cs="Segoe UI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Segoe UI" w:eastAsia="Segoe UI" w:hAnsi="Segoe UI" w:cs="Segoe UI"/>
      <w:spacing w:val="-10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spacing w:line="29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Заголовок №2"/>
    <w:basedOn w:val="Normal"/>
    <w:link w:val="CharStyle22"/>
    <w:pPr>
      <w:widowControl w:val="0"/>
      <w:shd w:val="clear" w:color="auto" w:fill="FFFFFF"/>
      <w:outlineLvl w:val="1"/>
      <w:spacing w:before="240" w:line="295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3">
    <w:name w:val="Колонтитул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/Relationships>
</file>