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30"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0pt;height:57pt;">
            <v:imagedata r:id="rId5" r:href="rId6"/>
          </v:shape>
        </w:pict>
      </w:r>
    </w:p>
    <w:p>
      <w:pPr>
        <w:widowControl w:val="0"/>
        <w:rPr>
          <w:sz w:val="2"/>
          <w:szCs w:val="2"/>
        </w:rPr>
      </w:pPr>
    </w:p>
    <w:p>
      <w:pPr>
        <w:pStyle w:val="Style5"/>
        <w:widowControl w:val="0"/>
        <w:keepNext w:val="0"/>
        <w:keepLines w:val="0"/>
        <w:shd w:val="clear" w:color="auto" w:fill="auto"/>
        <w:bidi w:val="0"/>
        <w:spacing w:before="74" w:after="191"/>
        <w:ind w:left="20" w:right="0" w:firstLine="0"/>
      </w:pPr>
      <w:r>
        <w:rPr>
          <w:lang w:val="ru-RU" w:eastAsia="ru-RU" w:bidi="ru-RU"/>
          <w:w w:val="100"/>
          <w:spacing w:val="0"/>
          <w:color w:val="000000"/>
          <w:position w:val="0"/>
        </w:rPr>
        <w:t>ФЕДЕРАЛЬНАЯ АНТИМОНОПОЛЬНАЯ СЛУЖБА</w:t>
      </w:r>
    </w:p>
    <w:p>
      <w:pPr>
        <w:pStyle w:val="Style7"/>
        <w:widowControl w:val="0"/>
        <w:keepNext/>
        <w:keepLines/>
        <w:shd w:val="clear" w:color="auto" w:fill="auto"/>
        <w:bidi w:val="0"/>
        <w:spacing w:before="0" w:after="287"/>
        <w:ind w:left="20" w:right="0" w:firstLine="0"/>
      </w:pPr>
      <w:bookmarkStart w:id="0" w:name="bookmark0"/>
      <w:r>
        <w:rPr>
          <w:rStyle w:val="CharStyle9"/>
          <w:b/>
          <w:bCs/>
        </w:rPr>
        <w:t xml:space="preserve">УПРАВЛЕНИЕ </w:t>
      </w:r>
      <w:r>
        <w:rPr>
          <w:lang w:val="ru-RU" w:eastAsia="ru-RU" w:bidi="ru-RU"/>
          <w:w w:val="100"/>
          <w:spacing w:val="0"/>
          <w:color w:val="000000"/>
          <w:position w:val="0"/>
        </w:rPr>
        <w:t>Федеральной антимонопольной службы по Вологодской области</w:t>
      </w:r>
      <w:bookmarkEnd w:id="0"/>
    </w:p>
    <w:p>
      <w:pPr>
        <w:pStyle w:val="Style10"/>
        <w:widowControl w:val="0"/>
        <w:keepNext w:val="0"/>
        <w:keepLines w:val="0"/>
        <w:shd w:val="clear" w:color="auto" w:fill="auto"/>
        <w:bidi w:val="0"/>
        <w:spacing w:before="0" w:after="261" w:line="240" w:lineRule="exact"/>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10"/>
        <w:widowControl w:val="0"/>
        <w:keepNext w:val="0"/>
        <w:keepLines w:val="0"/>
        <w:shd w:val="clear" w:color="auto" w:fill="auto"/>
        <w:bidi w:val="0"/>
        <w:jc w:val="left"/>
        <w:spacing w:before="0" w:after="143" w:line="306" w:lineRule="exact"/>
        <w:ind w:left="40" w:right="7120" w:firstLine="0"/>
      </w:pPr>
      <w:r>
        <w:rPr>
          <w:lang w:val="en-US" w:eastAsia="en-US" w:bidi="en-US"/>
          <w:sz w:val="24"/>
          <w:szCs w:val="24"/>
          <w:w w:val="100"/>
          <w:spacing w:val="0"/>
          <w:color w:val="000000"/>
          <w:position w:val="0"/>
        </w:rPr>
        <w:t xml:space="preserve">e-mail: </w:t>
      </w:r>
      <w:r>
        <w:fldChar w:fldCharType="begin"/>
      </w:r>
      <w:r>
        <w:rPr>
          <w:rStyle w:val="CharStyle12"/>
        </w:rPr>
        <w:instrText> HYPERLINK "mailto:to35@fas.gov.ru" </w:instrText>
      </w:r>
      <w:r>
        <w:fldChar w:fldCharType="separate"/>
      </w:r>
      <w:r>
        <w:rPr>
          <w:rStyle w:val="Hyperlink"/>
        </w:rPr>
        <w:t>to35@fas.gov.ru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r>
        <w:fldChar w:fldCharType="end"/>
      </w:r>
    </w:p>
    <w:p>
      <w:pPr>
        <w:pStyle w:val="Style5"/>
        <w:widowControl w:val="0"/>
        <w:keepNext w:val="0"/>
        <w:keepLines w:val="0"/>
        <w:shd w:val="clear" w:color="auto" w:fill="auto"/>
        <w:bidi w:val="0"/>
        <w:jc w:val="left"/>
        <w:spacing w:before="0" w:after="0" w:line="277" w:lineRule="exact"/>
        <w:ind w:left="4440" w:right="0" w:firstLine="0"/>
      </w:pPr>
      <w:r>
        <w:rPr>
          <w:lang w:val="ru-RU" w:eastAsia="ru-RU" w:bidi="ru-RU"/>
          <w:w w:val="100"/>
          <w:spacing w:val="0"/>
          <w:color w:val="000000"/>
          <w:position w:val="0"/>
        </w:rPr>
        <w:t>Заявитель:</w:t>
      </w:r>
    </w:p>
    <w:p>
      <w:pPr>
        <w:pStyle w:val="Style13"/>
        <w:widowControl w:val="0"/>
        <w:keepNext w:val="0"/>
        <w:keepLines w:val="0"/>
        <w:shd w:val="clear" w:color="auto" w:fill="auto"/>
        <w:bidi w:val="0"/>
        <w:jc w:val="left"/>
        <w:spacing w:before="0" w:after="246"/>
        <w:ind w:left="4440" w:right="1000" w:firstLine="0"/>
      </w:pPr>
      <w:r>
        <w:rPr>
          <w:lang w:val="ru-RU" w:eastAsia="ru-RU" w:bidi="ru-RU"/>
          <w:w w:val="100"/>
          <w:spacing w:val="0"/>
          <w:color w:val="000000"/>
          <w:position w:val="0"/>
        </w:rPr>
        <w:t xml:space="preserve">ООО «МОСТИНЖПРОЕКТ» </w:t>
      </w:r>
      <w:r>
        <w:fldChar w:fldCharType="begin"/>
      </w:r>
      <w:r>
        <w:rPr>
          <w:color w:val="000000"/>
        </w:rPr>
        <w:instrText> HYPERLINK "mailto:mostinzhproekt@yandex.ru" </w:instrText>
      </w:r>
      <w:r>
        <w:fldChar w:fldCharType="separate"/>
      </w:r>
      <w:r>
        <w:rPr>
          <w:rStyle w:val="Hyperlink"/>
          <w:lang w:val="en-US" w:eastAsia="en-US" w:bidi="en-US"/>
          <w:w w:val="100"/>
          <w:spacing w:val="0"/>
          <w:position w:val="0"/>
        </w:rPr>
        <w:t>mostinzhproekt@yandex.ru</w:t>
      </w:r>
      <w:r>
        <w:fldChar w:fldCharType="end"/>
      </w:r>
    </w:p>
    <w:p>
      <w:pPr>
        <w:pStyle w:val="Style7"/>
        <w:widowControl w:val="0"/>
        <w:keepNext/>
        <w:keepLines/>
        <w:shd w:val="clear" w:color="auto" w:fill="auto"/>
        <w:bidi w:val="0"/>
        <w:jc w:val="left"/>
        <w:spacing w:before="0" w:after="0" w:line="270" w:lineRule="exact"/>
        <w:ind w:left="4440" w:right="0" w:firstLine="0"/>
      </w:pPr>
      <w:bookmarkStart w:id="1" w:name="bookmark1"/>
      <w:r>
        <w:rPr>
          <w:lang w:val="ru-RU" w:eastAsia="ru-RU" w:bidi="ru-RU"/>
          <w:w w:val="100"/>
          <w:spacing w:val="0"/>
          <w:color w:val="000000"/>
          <w:position w:val="0"/>
        </w:rPr>
        <w:t>Заказчик:</w:t>
      </w:r>
      <w:bookmarkEnd w:id="1"/>
    </w:p>
    <w:p>
      <w:pPr>
        <w:pStyle w:val="Style13"/>
        <w:widowControl w:val="0"/>
        <w:keepNext w:val="0"/>
        <w:keepLines w:val="0"/>
        <w:shd w:val="clear" w:color="auto" w:fill="auto"/>
        <w:bidi w:val="0"/>
        <w:jc w:val="left"/>
        <w:spacing w:before="0" w:after="237" w:line="270" w:lineRule="exact"/>
        <w:ind w:left="4440" w:right="1000" w:firstLine="0"/>
      </w:pPr>
      <w:r>
        <w:rPr>
          <w:lang w:val="ru-RU" w:eastAsia="ru-RU" w:bidi="ru-RU"/>
          <w:w w:val="100"/>
          <w:spacing w:val="0"/>
          <w:color w:val="000000"/>
          <w:position w:val="0"/>
        </w:rPr>
        <w:t xml:space="preserve">КУ ВО «Управление автомобильных дорог Вологодской области» </w:t>
      </w:r>
      <w:r>
        <w:fldChar w:fldCharType="begin"/>
      </w:r>
      <w:r>
        <w:rPr>
          <w:color w:val="000000"/>
        </w:rPr>
        <w:instrText> HYPERLINK "mailto:uprautodor@mail.ru" </w:instrText>
      </w:r>
      <w:r>
        <w:fldChar w:fldCharType="separate"/>
      </w:r>
      <w:r>
        <w:rPr>
          <w:rStyle w:val="Hyperlink"/>
          <w:lang w:val="en-US" w:eastAsia="en-US" w:bidi="en-US"/>
          <w:w w:val="100"/>
          <w:spacing w:val="0"/>
          <w:position w:val="0"/>
        </w:rPr>
        <w:t>uprautodor@mail.ru</w:t>
      </w:r>
      <w:r>
        <w:fldChar w:fldCharType="end"/>
      </w:r>
    </w:p>
    <w:p>
      <w:pPr>
        <w:pStyle w:val="Style5"/>
        <w:widowControl w:val="0"/>
        <w:keepNext w:val="0"/>
        <w:keepLines w:val="0"/>
        <w:shd w:val="clear" w:color="auto" w:fill="auto"/>
        <w:bidi w:val="0"/>
        <w:jc w:val="left"/>
        <w:spacing w:before="0" w:after="0" w:line="274" w:lineRule="exact"/>
        <w:ind w:left="4440" w:right="0" w:firstLine="0"/>
      </w:pPr>
      <w:r>
        <w:rPr>
          <w:lang w:val="ru-RU" w:eastAsia="ru-RU" w:bidi="ru-RU"/>
          <w:w w:val="100"/>
          <w:spacing w:val="0"/>
          <w:color w:val="000000"/>
          <w:position w:val="0"/>
        </w:rPr>
        <w:t>Уполномоченное учреждение:</w:t>
      </w:r>
    </w:p>
    <w:p>
      <w:pPr>
        <w:pStyle w:val="Style13"/>
        <w:widowControl w:val="0"/>
        <w:keepNext w:val="0"/>
        <w:keepLines w:val="0"/>
        <w:shd w:val="clear" w:color="auto" w:fill="auto"/>
        <w:bidi w:val="0"/>
        <w:jc w:val="left"/>
        <w:spacing w:before="0" w:after="275" w:line="274" w:lineRule="exact"/>
        <w:ind w:left="4440" w:right="1000" w:firstLine="0"/>
      </w:pPr>
      <w:r>
        <w:rPr>
          <w:lang w:val="ru-RU" w:eastAsia="ru-RU" w:bidi="ru-RU"/>
          <w:w w:val="100"/>
          <w:spacing w:val="0"/>
          <w:color w:val="000000"/>
          <w:position w:val="0"/>
        </w:rPr>
        <w:t xml:space="preserve">КУ ВО «Центр закупок» </w:t>
      </w:r>
      <w:r>
        <w:fldChar w:fldCharType="begin"/>
      </w:r>
      <w:r>
        <w:rPr>
          <w:color w:val="000000"/>
        </w:rPr>
        <w:instrText> HYPERLINK "mailto:cz@cz.gov35.ru" </w:instrText>
      </w:r>
      <w:r>
        <w:fldChar w:fldCharType="separate"/>
      </w:r>
      <w:r>
        <w:rPr>
          <w:rStyle w:val="Hyperlink"/>
          <w:lang w:val="en-US" w:eastAsia="en-US" w:bidi="en-US"/>
          <w:w w:val="100"/>
          <w:spacing w:val="0"/>
          <w:position w:val="0"/>
        </w:rPr>
        <w:t>cz@cz.gov35.ru</w:t>
      </w:r>
      <w:r>
        <w:fldChar w:fldCharType="end"/>
      </w:r>
    </w:p>
    <w:p>
      <w:pPr>
        <w:pStyle w:val="Style7"/>
        <w:widowControl w:val="0"/>
        <w:keepNext/>
        <w:keepLines/>
        <w:shd w:val="clear" w:color="auto" w:fill="auto"/>
        <w:bidi w:val="0"/>
        <w:jc w:val="left"/>
        <w:spacing w:before="0" w:after="64" w:line="230" w:lineRule="exact"/>
        <w:ind w:left="4440" w:right="0" w:firstLine="0"/>
      </w:pPr>
      <w:bookmarkStart w:id="2" w:name="bookmark2"/>
      <w:r>
        <w:rPr>
          <w:lang w:val="ru-RU" w:eastAsia="ru-RU" w:bidi="ru-RU"/>
          <w:w w:val="100"/>
          <w:spacing w:val="0"/>
          <w:color w:val="000000"/>
          <w:position w:val="0"/>
        </w:rPr>
        <w:t>Оператор электронной площадки:</w:t>
      </w:r>
      <w:bookmarkEnd w:id="2"/>
    </w:p>
    <w:p>
      <w:pPr>
        <w:pStyle w:val="Style13"/>
        <w:widowControl w:val="0"/>
        <w:keepNext w:val="0"/>
        <w:keepLines w:val="0"/>
        <w:shd w:val="clear" w:color="auto" w:fill="auto"/>
        <w:bidi w:val="0"/>
        <w:jc w:val="left"/>
        <w:spacing w:before="0" w:after="298" w:line="220" w:lineRule="exact"/>
        <w:ind w:left="4440" w:right="0" w:firstLine="0"/>
      </w:pPr>
      <w:r>
        <w:rPr>
          <w:lang w:val="ru-RU" w:eastAsia="ru-RU" w:bidi="ru-RU"/>
          <w:w w:val="100"/>
          <w:spacing w:val="0"/>
          <w:color w:val="000000"/>
          <w:position w:val="0"/>
        </w:rPr>
        <w:t>РТС-Тендер</w:t>
      </w:r>
    </w:p>
    <w:p>
      <w:pPr>
        <w:pStyle w:val="Style7"/>
        <w:widowControl w:val="0"/>
        <w:keepNext/>
        <w:keepLines/>
        <w:shd w:val="clear" w:color="auto" w:fill="auto"/>
        <w:bidi w:val="0"/>
        <w:spacing w:before="0" w:after="184" w:line="230" w:lineRule="exact"/>
        <w:ind w:left="20" w:right="0" w:firstLine="0"/>
      </w:pPr>
      <w:bookmarkStart w:id="3" w:name="bookmark3"/>
      <w:r>
        <w:rPr>
          <w:lang w:val="ru-RU" w:eastAsia="ru-RU" w:bidi="ru-RU"/>
          <w:w w:val="100"/>
          <w:spacing w:val="0"/>
          <w:color w:val="000000"/>
          <w:position w:val="0"/>
        </w:rPr>
        <w:t>РЕШЕНИЕ № 035/06/31-404/2022</w:t>
      </w:r>
      <w:bookmarkEnd w:id="3"/>
    </w:p>
    <w:p>
      <w:pPr>
        <w:pStyle w:val="Style13"/>
        <w:tabs>
          <w:tab w:leader="none" w:pos="8777" w:val="left"/>
        </w:tabs>
        <w:widowControl w:val="0"/>
        <w:keepNext w:val="0"/>
        <w:keepLines w:val="0"/>
        <w:shd w:val="clear" w:color="auto" w:fill="auto"/>
        <w:bidi w:val="0"/>
        <w:jc w:val="both"/>
        <w:spacing w:before="0" w:after="138" w:line="220" w:lineRule="exact"/>
        <w:ind w:left="40" w:right="0" w:firstLine="0"/>
      </w:pPr>
      <w:r>
        <w:rPr>
          <w:lang w:val="ru-RU" w:eastAsia="ru-RU" w:bidi="ru-RU"/>
          <w:w w:val="100"/>
          <w:spacing w:val="0"/>
          <w:color w:val="000000"/>
          <w:position w:val="0"/>
        </w:rPr>
        <w:t>03 августа 2022 г.</w:t>
        <w:tab/>
        <w:t>г. Вологда</w:t>
      </w:r>
    </w:p>
    <w:p>
      <w:pPr>
        <w:pStyle w:val="Style13"/>
        <w:widowControl w:val="0"/>
        <w:keepNext w:val="0"/>
        <w:keepLines w:val="0"/>
        <w:shd w:val="clear" w:color="auto" w:fill="auto"/>
        <w:bidi w:val="0"/>
        <w:jc w:val="left"/>
        <w:spacing w:before="0" w:after="0" w:line="266" w:lineRule="exact"/>
        <w:ind w:left="40" w:right="20" w:firstLine="700"/>
      </w:pPr>
      <w:r>
        <w:rPr>
          <w:lang w:val="ru-RU" w:eastAsia="ru-RU" w:bidi="ru-RU"/>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 ФАС, Комиссия Управления) в составе: Ростиславова А.А. — временно исполняющий обязанности руководителя Управления Федеральной антимонопольной службы по Вологодской области, председатель Комиссии Управления,</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Сучков О.Н. - помощник руководителя Управления Федеральной антимонопольной службы по Вологодской области, член Комиссии Управления,</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Предтеченская Е.Н. - начальник отдела контроля органов власти и закупок Управления Федеральной антимонопольной службы по Вологодской области, член Комиссии Управления,</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Кузнецова Ю.Н. - старший государственный инспектор Управления Федеральной антимонопольной службы по Вологодской области, член Комиссии Управления,</w:t>
      </w:r>
    </w:p>
    <w:p>
      <w:pPr>
        <w:pStyle w:val="Style1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рассмотрев жалобу ООО «МОСТИНЖПРОЕКТ» (далее - Заявитель) на положения извещения при проведении открытого конкурса в электронной форме «Разработка проекта выполнения работ по ремонту моста через реку Кичменьга км 0+350 автомобильной дороги Обход села Кичменгский Городок в Кичменгско-Городецком районе Вологодской области», извещение № 0830500000222002060, (далее - конкурс, закупка), заказчик - КУ ВО «Управление автомобильных дорог Вологодской области» (далее - Заказчик), уполномоченное учреждение — КУ ВО «Центр закупок» (далее — Уполномоченное учреждение) при участии представителей:</w:t>
      </w:r>
    </w:p>
    <w:p>
      <w:pPr>
        <w:pStyle w:val="Style13"/>
        <w:widowControl w:val="0"/>
        <w:keepNext w:val="0"/>
        <w:keepLines w:val="0"/>
        <w:shd w:val="clear" w:color="auto" w:fill="auto"/>
        <w:bidi w:val="0"/>
        <w:jc w:val="both"/>
        <w:spacing w:before="0" w:after="0" w:line="263" w:lineRule="exact"/>
        <w:ind w:left="20" w:right="20" w:firstLine="700"/>
      </w:pPr>
      <w:r>
        <w:rPr>
          <w:lang w:val="ru-RU" w:eastAsia="ru-RU" w:bidi="ru-RU"/>
          <w:w w:val="100"/>
          <w:spacing w:val="0"/>
          <w:color w:val="000000"/>
          <w:position w:val="0"/>
        </w:rPr>
        <w:t>от Заказчика - Меркуловой Е.Н. (по доверенности), Царевой Ю.А. (по доверенности), Большакова Д.В. (по доверенности)</w:t>
      </w:r>
    </w:p>
    <w:p>
      <w:pPr>
        <w:pStyle w:val="Style1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от Уполномоченного учреждения - Гудиной А.В. (распоряжение), Токановой Ю.В. (по доверенности), Шевелевой О.С. (по доверенности),</w:t>
      </w:r>
    </w:p>
    <w:p>
      <w:pPr>
        <w:pStyle w:val="Style13"/>
        <w:widowControl w:val="0"/>
        <w:keepNext w:val="0"/>
        <w:keepLines w:val="0"/>
        <w:shd w:val="clear" w:color="auto" w:fill="auto"/>
        <w:bidi w:val="0"/>
        <w:jc w:val="both"/>
        <w:spacing w:before="0" w:after="152" w:line="270" w:lineRule="exact"/>
        <w:ind w:left="20" w:right="0" w:firstLine="700"/>
      </w:pPr>
      <w:r>
        <w:rPr>
          <w:lang w:val="ru-RU" w:eastAsia="ru-RU" w:bidi="ru-RU"/>
          <w:w w:val="100"/>
          <w:spacing w:val="0"/>
          <w:color w:val="000000"/>
          <w:position w:val="0"/>
        </w:rPr>
        <w:t>от Заявителя - Ахметшина Т.Н. (протокол),</w:t>
      </w:r>
    </w:p>
    <w:p>
      <w:pPr>
        <w:pStyle w:val="Style7"/>
        <w:widowControl w:val="0"/>
        <w:keepNext/>
        <w:keepLines/>
        <w:shd w:val="clear" w:color="auto" w:fill="auto"/>
        <w:bidi w:val="0"/>
        <w:jc w:val="left"/>
        <w:spacing w:before="0" w:after="215" w:line="230" w:lineRule="exact"/>
        <w:ind w:left="4340" w:right="0" w:firstLine="0"/>
      </w:pPr>
      <w:bookmarkStart w:id="4" w:name="bookmark4"/>
      <w:r>
        <w:rPr>
          <w:lang w:val="ru-RU" w:eastAsia="ru-RU" w:bidi="ru-RU"/>
          <w:w w:val="100"/>
          <w:spacing w:val="0"/>
          <w:color w:val="000000"/>
          <w:position w:val="0"/>
        </w:rPr>
        <w:t>УСТАНОВИЛА:</w:t>
      </w:r>
      <w:bookmarkEnd w:id="4"/>
    </w:p>
    <w:p>
      <w:pPr>
        <w:pStyle w:val="Style13"/>
        <w:numPr>
          <w:ilvl w:val="0"/>
          <w:numId w:val="1"/>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в Единой информационной системе в сфере закупок (далее - ЕИС) размещена жалоба Заявителя на положения извещения об осуществлении закупки,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Жалоба Заявителя подана в надлежащий срок и соответствует требованиям, предусмотренным ст. 105 Закона о контрактной системе.</w:t>
      </w:r>
    </w:p>
    <w:p>
      <w:pPr>
        <w:pStyle w:val="Style13"/>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В жалобе Заявитель приводит следующие доводы.</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 4 ст.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Вопреки вышеизложенному извещение о закупке не содержит дополнительного требования к Участникам закупок согласно Постановлению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Заказчиком и Уполномоченным учреждением предоставлены возражения на жалобу. С доводом жалобы Заказчик и Уполномоченное учреждение не согласны, считают, что извещение о конкурсе не содержит положений и документов, противоречащих требованиям Закона о контрактной системе, просят признать жалобу необоснованной.</w:t>
      </w:r>
    </w:p>
    <w:p>
      <w:pPr>
        <w:pStyle w:val="Style13"/>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Заседание Комиссии УФАС проведено посредством видеоконференцсвязи.</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Комиссия УФАС, рассмотрев представленные материалы, пришла к следующему выводу.</w:t>
      </w:r>
    </w:p>
    <w:p>
      <w:pPr>
        <w:pStyle w:val="Style13"/>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в ЕИС размещен документ «Извещение о проведении открытого конкурса в электронной форме от 18.07.2022 № 0830500000222002060».</w:t>
      </w:r>
    </w:p>
    <w:p>
      <w:pPr>
        <w:pStyle w:val="Style13"/>
        <w:numPr>
          <w:ilvl w:val="0"/>
          <w:numId w:val="5"/>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в ЕИС размещен документ «Изменение извещения о проведении открытого конкурса в электронной форме от 02.08.2022 №ИИ1».</w:t>
      </w:r>
    </w:p>
    <w:p>
      <w:pPr>
        <w:pStyle w:val="Style13"/>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Начальная (максимальная) цена контракта: 7 900 000,00 руб.</w:t>
      </w:r>
    </w:p>
    <w:p>
      <w:pPr>
        <w:pStyle w:val="Style13"/>
        <w:widowControl w:val="0"/>
        <w:keepNext w:val="0"/>
        <w:keepLines w:val="0"/>
        <w:shd w:val="clear" w:color="auto" w:fill="auto"/>
        <w:bidi w:val="0"/>
        <w:jc w:val="both"/>
        <w:spacing w:before="0" w:after="26" w:line="220" w:lineRule="exact"/>
        <w:ind w:left="20" w:right="0" w:firstLine="700"/>
      </w:pPr>
      <w:r>
        <w:rPr>
          <w:lang w:val="ru-RU" w:eastAsia="ru-RU" w:bidi="ru-RU"/>
          <w:w w:val="100"/>
          <w:spacing w:val="0"/>
          <w:color w:val="000000"/>
          <w:position w:val="0"/>
        </w:rPr>
        <w:t>Дата и время окончания подачи заявок: 17.08.2022 в 8:00.</w:t>
      </w:r>
    </w:p>
    <w:p>
      <w:pPr>
        <w:pStyle w:val="Style1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соответствии со ст. 7 Закона о контрактной системе открытость и прозрачность информации, указанной в ч. 1 настоящей статьи, обеспечиваются, в частности, путем ее размещения в единой информационной системе. Информация, предусмотренная Федеральным законом и размещенная в единой информационной системе, должна быть полной и достоверной.</w:t>
      </w:r>
    </w:p>
    <w:p>
      <w:pPr>
        <w:pStyle w:val="Style1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соответствии с положениями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В случае установления Правительством Российской Федерации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3"/>
        <w:widowControl w:val="0"/>
        <w:keepNext w:val="0"/>
        <w:keepLines w:val="0"/>
        <w:shd w:val="clear" w:color="auto" w:fill="auto"/>
        <w:bidi w:val="0"/>
        <w:jc w:val="both"/>
        <w:spacing w:before="0" w:after="0" w:line="270" w:lineRule="exact"/>
        <w:ind w:left="20" w:right="0" w:firstLine="700"/>
      </w:pPr>
      <w:r>
        <w:rPr>
          <w:lang w:val="ru-RU" w:eastAsia="ru-RU" w:bidi="ru-RU"/>
          <w:w w:val="100"/>
          <w:spacing w:val="0"/>
          <w:color w:val="000000"/>
          <w:position w:val="0"/>
        </w:rPr>
        <w:t>Такие дополнительные требования установлены Постановлением № 2571.</w:t>
      </w:r>
    </w:p>
    <w:p>
      <w:pPr>
        <w:pStyle w:val="Style13"/>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Дополнительные требования к участникам закупок устанавливаются при проведении закупок на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 в соответствии с позицией 6 Постановления № 2571.</w:t>
      </w:r>
    </w:p>
    <w:p>
      <w:pPr>
        <w:pStyle w:val="Style13"/>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Заказчик и Уполномоченное учреждение в возражениях на жалобу указали, что вид ремонта моста, на который составляется проектная документация - ремонт, не являющийся капитальным, в связи с чем, дополнительные требования к участникам закупок в извещении о конкурсе не установлены.</w:t>
      </w:r>
    </w:p>
    <w:p>
      <w:pPr>
        <w:pStyle w:val="Style13"/>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Согласно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3"/>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13"/>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pPr>
        <w:pStyle w:val="Style13"/>
        <w:widowControl w:val="0"/>
        <w:keepNext w:val="0"/>
        <w:keepLines w:val="0"/>
        <w:shd w:val="clear" w:color="auto" w:fill="auto"/>
        <w:bidi w:val="0"/>
        <w:jc w:val="both"/>
        <w:spacing w:before="0" w:after="0" w:line="274" w:lineRule="exact"/>
        <w:ind w:left="40" w:right="40" w:firstLine="700"/>
        <w:sectPr>
          <w:headerReference w:type="even" r:id="rId7"/>
          <w:footnotePr>
            <w:pos w:val="pageBottom"/>
            <w:numFmt w:val="decimal"/>
            <w:numRestart w:val="continuous"/>
          </w:footnotePr>
          <w:type w:val="continuous"/>
          <w:pgSz w:w="11909" w:h="16838"/>
          <w:pgMar w:top="640" w:left="966" w:right="966" w:bottom="1338" w:header="0" w:footer="3" w:gutter="117"/>
          <w:rtlGutter w:val="0"/>
          <w:cols w:space="720"/>
          <w:noEndnote/>
          <w:docGrid w:linePitch="360"/>
        </w:sectPr>
      </w:pPr>
      <w:r>
        <w:rPr>
          <w:lang w:val="ru-RU" w:eastAsia="ru-RU" w:bidi="ru-RU"/>
          <w:w w:val="100"/>
          <w:spacing w:val="0"/>
          <w:color w:val="000000"/>
          <w:position w:val="0"/>
        </w:rPr>
        <w:t xml:space="preserve">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w:t>
      </w:r>
    </w:p>
    <w:p>
      <w:pPr>
        <w:pStyle w:val="Style13"/>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pPr>
        <w:pStyle w:val="Style13"/>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Согласно ч. 2 ст. 48 Градостроительного Кодекса Российской Федерации (далее - ГрК РФ)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3"/>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Пунктом 3.10 Технического задания определен вид ремонта моста - ремонт, не являющийся капитальным.</w:t>
      </w:r>
    </w:p>
    <w:p>
      <w:pPr>
        <w:pStyle w:val="Style13"/>
        <w:tabs>
          <w:tab w:leader="underscore" w:pos="9370" w:val="left"/>
        </w:tabs>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Согласно п. 4 Технического задания предусмотрены технические характеристики об</w:t>
      </w:r>
      <w:r>
        <w:rPr>
          <w:rStyle w:val="CharStyle18"/>
        </w:rPr>
        <w:t>ъекта для разработки проекта выполн</w:t>
      </w:r>
      <w:r>
        <w:rPr>
          <w:lang w:val="ru-RU" w:eastAsia="ru-RU" w:bidi="ru-RU"/>
          <w:w w:val="100"/>
          <w:spacing w:val="0"/>
          <w:color w:val="000000"/>
          <w:position w:val="0"/>
        </w:rPr>
        <w:t xml:space="preserve">ения </w:t>
      </w:r>
      <w:r>
        <w:rPr>
          <w:rStyle w:val="CharStyle18"/>
        </w:rPr>
        <w:t>работ (до/после ремонта):</w:t>
      </w:r>
      <w:r>
        <w:rPr>
          <w:lang w:val="ru-RU" w:eastAsia="ru-RU" w:bidi="ru-RU"/>
          <w:w w:val="100"/>
          <w:spacing w:val="0"/>
          <w:color w:val="000000"/>
          <w:position w:val="0"/>
        </w:rPr>
        <w:tab/>
      </w:r>
    </w:p>
    <w:tbl>
      <w:tblPr>
        <w:tblOverlap w:val="never"/>
        <w:tblLayout w:type="fixed"/>
        <w:jc w:val="center"/>
      </w:tblPr>
      <w:tblGrid>
        <w:gridCol w:w="4144"/>
        <w:gridCol w:w="2592"/>
        <w:gridCol w:w="2671"/>
      </w:tblGrid>
      <w:tr>
        <w:trPr>
          <w:trHeight w:val="292"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060" w:right="0" w:firstLine="0"/>
            </w:pPr>
            <w:r>
              <w:rPr>
                <w:rStyle w:val="CharStyle19"/>
              </w:rPr>
              <w:t>Наименование параметров</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040" w:right="0" w:firstLine="0"/>
            </w:pPr>
            <w:r>
              <w:rPr>
                <w:rStyle w:val="CharStyle19"/>
              </w:rPr>
              <w:t>До ремонта</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260" w:firstLine="0"/>
            </w:pPr>
            <w:r>
              <w:rPr>
                <w:rStyle w:val="CharStyle19"/>
              </w:rPr>
              <w:t>После ремонта</w:t>
            </w:r>
          </w:p>
        </w:tc>
      </w:tr>
      <w:tr>
        <w:trPr>
          <w:trHeight w:val="562"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120" w:line="220" w:lineRule="exact"/>
              <w:ind w:left="20" w:right="0" w:firstLine="700"/>
            </w:pPr>
            <w:r>
              <w:rPr>
                <w:rStyle w:val="CharStyle19"/>
              </w:rPr>
              <w:t>Категория автомобильной</w:t>
            </w:r>
          </w:p>
          <w:p>
            <w:pPr>
              <w:pStyle w:val="Style13"/>
              <w:framePr w:w="9407" w:wrap="notBeside" w:vAnchor="text" w:hAnchor="text" w:xAlign="center" w:y="1"/>
              <w:widowControl w:val="0"/>
              <w:keepNext w:val="0"/>
              <w:keepLines w:val="0"/>
              <w:shd w:val="clear" w:color="auto" w:fill="auto"/>
              <w:bidi w:val="0"/>
              <w:jc w:val="left"/>
              <w:spacing w:before="120" w:after="0" w:line="220" w:lineRule="exact"/>
              <w:ind w:left="20" w:right="0" w:firstLine="0"/>
            </w:pPr>
            <w:r>
              <w:rPr>
                <w:rStyle w:val="CharStyle19"/>
              </w:rPr>
              <w:t>дороги</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00" w:right="0" w:firstLine="0"/>
            </w:pPr>
            <w:r>
              <w:rPr>
                <w:rStyle w:val="CharStyle19"/>
              </w:rPr>
              <w:t>IV</w:t>
            </w:r>
          </w:p>
        </w:tc>
        <w:tc>
          <w:tcPr>
            <w:shd w:val="clear" w:color="auto" w:fill="FFFFFF"/>
            <w:tcBorders>
              <w:left w:val="single" w:sz="4"/>
              <w:righ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60" w:right="0" w:firstLine="0"/>
            </w:pPr>
            <w:r>
              <w:rPr>
                <w:rStyle w:val="CharStyle19"/>
              </w:rPr>
              <w:t>IV</w:t>
            </w:r>
          </w:p>
        </w:tc>
      </w:tr>
      <w:tr>
        <w:trPr>
          <w:trHeight w:val="284" w:hRule="exact"/>
        </w:trPr>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19"/>
              </w:rPr>
              <w:t>Число полос движения</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00" w:right="0" w:firstLine="0"/>
            </w:pPr>
            <w:r>
              <w:rPr>
                <w:rStyle w:val="CharStyle19"/>
              </w:rPr>
              <w:t>2</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60" w:right="0" w:firstLine="0"/>
            </w:pPr>
            <w:r>
              <w:rPr>
                <w:rStyle w:val="CharStyle19"/>
              </w:rPr>
              <w:t>2</w:t>
            </w:r>
          </w:p>
        </w:tc>
      </w:tr>
      <w:tr>
        <w:trPr>
          <w:trHeight w:val="558"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81" w:lineRule="exact"/>
              <w:ind w:left="20" w:right="0" w:firstLine="700"/>
            </w:pPr>
            <w:r>
              <w:rPr>
                <w:rStyle w:val="CharStyle19"/>
              </w:rPr>
              <w:t>Длина искусственного сооружения, м</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680" w:firstLine="0"/>
            </w:pPr>
            <w:r>
              <w:rPr>
                <w:rStyle w:val="CharStyle19"/>
              </w:rPr>
              <w:t>95,75</w:t>
            </w:r>
          </w:p>
        </w:tc>
        <w:tc>
          <w:tcPr>
            <w:shd w:val="clear" w:color="auto" w:fill="FFFFFF"/>
            <w:tcBorders>
              <w:left w:val="single" w:sz="4"/>
              <w:righ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440" w:right="0" w:firstLine="0"/>
            </w:pPr>
            <w:r>
              <w:rPr>
                <w:rStyle w:val="CharStyle19"/>
              </w:rPr>
              <w:t>95,75</w:t>
            </w:r>
          </w:p>
        </w:tc>
      </w:tr>
      <w:tr>
        <w:trPr>
          <w:trHeight w:val="533" w:hRule="exact"/>
        </w:trPr>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19"/>
              </w:rPr>
              <w:t>Схема моста, м</w:t>
            </w:r>
          </w:p>
        </w:tc>
        <w:tc>
          <w:tcPr>
            <w:shd w:val="clear" w:color="auto" w:fill="FFFFFF"/>
            <w:tcBorders>
              <w:left w:val="single" w:sz="4"/>
              <w:top w:val="single" w:sz="4"/>
            </w:tcBorders>
            <w:vAlign w:val="top"/>
          </w:tcPr>
          <w:p>
            <w:pPr>
              <w:pStyle w:val="Style13"/>
              <w:framePr w:w="9407" w:wrap="notBeside" w:vAnchor="text" w:hAnchor="text" w:xAlign="center" w:y="1"/>
              <w:widowControl w:val="0"/>
              <w:keepNext w:val="0"/>
              <w:keepLines w:val="0"/>
              <w:shd w:val="clear" w:color="auto" w:fill="auto"/>
              <w:bidi w:val="0"/>
              <w:jc w:val="left"/>
              <w:spacing w:before="0" w:after="60" w:line="220" w:lineRule="exact"/>
              <w:ind w:left="780" w:right="0" w:firstLine="0"/>
            </w:pPr>
            <w:r>
              <w:rPr>
                <w:rStyle w:val="CharStyle19"/>
              </w:rPr>
              <w:t>2*12+42,6+2*1</w:t>
            </w:r>
          </w:p>
          <w:p>
            <w:pPr>
              <w:pStyle w:val="Style13"/>
              <w:framePr w:w="9407" w:wrap="notBeside" w:vAnchor="text" w:hAnchor="text" w:xAlign="center" w:y="1"/>
              <w:widowControl w:val="0"/>
              <w:keepNext w:val="0"/>
              <w:keepLines w:val="0"/>
              <w:shd w:val="clear" w:color="auto" w:fill="auto"/>
              <w:bidi w:val="0"/>
              <w:jc w:val="left"/>
              <w:spacing w:before="60" w:after="0" w:line="220" w:lineRule="exact"/>
              <w:ind w:left="1120" w:right="0" w:firstLine="0"/>
            </w:pPr>
            <w:r>
              <w:rPr>
                <w:rStyle w:val="CharStyle19"/>
              </w:rPr>
              <w:t>2</w:t>
            </w:r>
          </w:p>
        </w:tc>
        <w:tc>
          <w:tcPr>
            <w:shd w:val="clear" w:color="auto" w:fill="FFFFFF"/>
            <w:tcBorders>
              <w:left w:val="single" w:sz="4"/>
              <w:righ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260" w:firstLine="0"/>
            </w:pPr>
            <w:r>
              <w:rPr>
                <w:rStyle w:val="CharStyle19"/>
              </w:rPr>
              <w:t>2*12+42,6+2*12</w:t>
            </w:r>
          </w:p>
        </w:tc>
      </w:tr>
      <w:tr>
        <w:trPr>
          <w:trHeight w:val="547"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84" w:lineRule="exact"/>
              <w:ind w:left="20" w:right="0" w:firstLine="700"/>
            </w:pPr>
            <w:r>
              <w:rPr>
                <w:rStyle w:val="CharStyle19"/>
              </w:rPr>
              <w:t>Ширина искусственного сооружения, м</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680" w:firstLine="0"/>
            </w:pPr>
            <w:r>
              <w:rPr>
                <w:rStyle w:val="CharStyle19"/>
              </w:rPr>
              <w:t>12,95</w:t>
            </w:r>
          </w:p>
        </w:tc>
        <w:tc>
          <w:tcPr>
            <w:shd w:val="clear" w:color="auto" w:fill="FFFFFF"/>
            <w:tcBorders>
              <w:left w:val="single" w:sz="4"/>
              <w:righ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440" w:right="0" w:firstLine="0"/>
            </w:pPr>
            <w:r>
              <w:rPr>
                <w:rStyle w:val="CharStyle19"/>
              </w:rPr>
              <w:t>12,95</w:t>
            </w:r>
          </w:p>
        </w:tc>
      </w:tr>
      <w:tr>
        <w:trPr>
          <w:trHeight w:val="554"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19"/>
              </w:rPr>
              <w:t>Габарит проезжей части</w:t>
            </w:r>
          </w:p>
        </w:tc>
        <w:tc>
          <w:tcPr>
            <w:shd w:val="clear" w:color="auto" w:fill="FFFFFF"/>
            <w:tcBorders>
              <w:left w:val="single" w:sz="4"/>
              <w:top w:val="single" w:sz="4"/>
            </w:tcBorders>
            <w:vAlign w:val="top"/>
          </w:tcPr>
          <w:p>
            <w:pPr>
              <w:pStyle w:val="Style13"/>
              <w:framePr w:w="9407" w:wrap="notBeside" w:vAnchor="text" w:hAnchor="text" w:xAlign="center" w:y="1"/>
              <w:widowControl w:val="0"/>
              <w:keepNext w:val="0"/>
              <w:keepLines w:val="0"/>
              <w:shd w:val="clear" w:color="auto" w:fill="auto"/>
              <w:bidi w:val="0"/>
              <w:jc w:val="right"/>
              <w:spacing w:before="0" w:after="0" w:line="274" w:lineRule="exact"/>
              <w:ind w:left="0" w:right="680" w:firstLine="0"/>
            </w:pPr>
            <w:r>
              <w:rPr>
                <w:rStyle w:val="CharStyle19"/>
              </w:rPr>
              <w:t>Г-10,25; Т1 = 1,0; Т2=1,0</w:t>
            </w:r>
          </w:p>
        </w:tc>
        <w:tc>
          <w:tcPr>
            <w:shd w:val="clear" w:color="auto" w:fill="FFFFFF"/>
            <w:tcBorders>
              <w:left w:val="single" w:sz="4"/>
              <w:right w:val="single" w:sz="4"/>
              <w:top w:val="single" w:sz="4"/>
            </w:tcBorders>
            <w:vAlign w:val="top"/>
          </w:tcPr>
          <w:p>
            <w:pPr>
              <w:pStyle w:val="Style13"/>
              <w:framePr w:w="9407" w:wrap="notBeside" w:vAnchor="text" w:hAnchor="text" w:xAlign="center" w:y="1"/>
              <w:widowControl w:val="0"/>
              <w:keepNext w:val="0"/>
              <w:keepLines w:val="0"/>
              <w:shd w:val="clear" w:color="auto" w:fill="auto"/>
              <w:bidi w:val="0"/>
              <w:jc w:val="left"/>
              <w:spacing w:before="0" w:after="0" w:line="274" w:lineRule="exact"/>
              <w:ind w:left="880" w:right="0" w:hanging="120"/>
            </w:pPr>
            <w:r>
              <w:rPr>
                <w:rStyle w:val="CharStyle19"/>
              </w:rPr>
              <w:t>Г-10,25; Т1=1,0; Т2=1,0</w:t>
            </w:r>
          </w:p>
        </w:tc>
      </w:tr>
      <w:tr>
        <w:trPr>
          <w:trHeight w:val="277"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19"/>
              </w:rPr>
              <w:t>Расчетные нагрузки</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120" w:right="0" w:firstLine="0"/>
            </w:pPr>
            <w:r>
              <w:rPr>
                <w:rStyle w:val="CharStyle19"/>
              </w:rPr>
              <w:t>Н30,НК80</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180" w:right="0" w:firstLine="0"/>
            </w:pPr>
            <w:r>
              <w:rPr>
                <w:rStyle w:val="CharStyle19"/>
              </w:rPr>
              <w:t>Н30,НК80</w:t>
            </w:r>
          </w:p>
        </w:tc>
      </w:tr>
      <w:tr>
        <w:trPr>
          <w:trHeight w:val="288"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19"/>
              </w:rPr>
              <w:t>Вид покрытия</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200" w:firstLine="0"/>
            </w:pPr>
            <w:r>
              <w:rPr>
                <w:rStyle w:val="CharStyle19"/>
              </w:rPr>
              <w:t>асфальтобетон</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260" w:firstLine="0"/>
            </w:pPr>
            <w:r>
              <w:rPr>
                <w:rStyle w:val="CharStyle19"/>
              </w:rPr>
              <w:t>асфальтобетон</w:t>
            </w:r>
          </w:p>
        </w:tc>
      </w:tr>
      <w:tr>
        <w:trPr>
          <w:trHeight w:val="288"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19"/>
              </w:rPr>
              <w:t>Освещение на мосту (есть/нет)</w:t>
            </w:r>
          </w:p>
        </w:tc>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00" w:right="0" w:firstLine="0"/>
            </w:pPr>
            <w:r>
              <w:rPr>
                <w:rStyle w:val="CharStyle19"/>
              </w:rPr>
              <w:t>нет</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60" w:right="0" w:firstLine="0"/>
            </w:pPr>
            <w:r>
              <w:rPr>
                <w:rStyle w:val="CharStyle19"/>
              </w:rPr>
              <w:t>нет</w:t>
            </w:r>
          </w:p>
        </w:tc>
      </w:tr>
      <w:tr>
        <w:trPr>
          <w:trHeight w:val="533" w:hRule="exact"/>
        </w:trPr>
        <w:tc>
          <w:tcPr>
            <w:shd w:val="clear" w:color="auto" w:fill="FFFFFF"/>
            <w:tcBorders>
              <w:lef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74" w:lineRule="exact"/>
              <w:ind w:left="20" w:right="0" w:firstLine="700"/>
            </w:pPr>
            <w:r>
              <w:rPr>
                <w:rStyle w:val="CharStyle19"/>
              </w:rPr>
              <w:t>Ограждение на мосту (мегалл/ж.б)</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300" w:right="0" w:firstLine="0"/>
            </w:pPr>
            <w:r>
              <w:rPr>
                <w:rStyle w:val="CharStyle19"/>
              </w:rPr>
              <w:t>металл</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120" w:line="220" w:lineRule="exact"/>
              <w:ind w:left="1080" w:right="0" w:firstLine="0"/>
            </w:pPr>
            <w:r>
              <w:rPr>
                <w:rStyle w:val="CharStyle19"/>
              </w:rPr>
              <w:t>Определить</w:t>
            </w:r>
          </w:p>
          <w:p>
            <w:pPr>
              <w:pStyle w:val="Style13"/>
              <w:framePr w:w="9407"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19"/>
              </w:rPr>
              <w:t>проектом</w:t>
            </w:r>
          </w:p>
        </w:tc>
      </w:tr>
      <w:tr>
        <w:trPr>
          <w:trHeight w:val="544" w:hRule="exact"/>
        </w:trPr>
        <w:tc>
          <w:tcPr>
            <w:shd w:val="clear" w:color="auto" w:fill="FFFFFF"/>
            <w:tcBorders>
              <w:left w:val="single" w:sz="4"/>
              <w:top w:val="single" w:sz="4"/>
            </w:tcBorders>
            <w:vAlign w:val="top"/>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19"/>
              </w:rPr>
              <w:t>Ограждение на подходах</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500" w:right="0" w:firstLine="0"/>
            </w:pPr>
            <w:r>
              <w:rPr>
                <w:rStyle w:val="CharStyle19"/>
              </w:rPr>
              <w:t>нет</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120" w:line="220" w:lineRule="exact"/>
              <w:ind w:left="1080" w:right="0" w:firstLine="0"/>
            </w:pPr>
            <w:r>
              <w:rPr>
                <w:rStyle w:val="CharStyle19"/>
              </w:rPr>
              <w:t>Определить</w:t>
            </w:r>
          </w:p>
          <w:p>
            <w:pPr>
              <w:pStyle w:val="Style13"/>
              <w:framePr w:w="9407"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19"/>
              </w:rPr>
              <w:t>проектом</w:t>
            </w:r>
          </w:p>
        </w:tc>
      </w:tr>
      <w:tr>
        <w:trPr>
          <w:trHeight w:val="544" w:hRule="exact"/>
        </w:trPr>
        <w:tc>
          <w:tcPr>
            <w:shd w:val="clear" w:color="auto" w:fill="FFFFFF"/>
            <w:tcBorders>
              <w:left w:val="single" w:sz="4"/>
              <w:top w:val="single" w:sz="4"/>
            </w:tcBorders>
            <w:vAlign w:val="top"/>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19"/>
              </w:rPr>
              <w:t>Перильное ограждение</w:t>
            </w:r>
          </w:p>
        </w:tc>
        <w:tc>
          <w:tcPr>
            <w:shd w:val="clear" w:color="auto" w:fill="FFFFFF"/>
            <w:tcBorders>
              <w:left w:val="single" w:sz="4"/>
              <w:top w:val="single" w:sz="4"/>
            </w:tcBorders>
            <w:vAlign w:val="center"/>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1300" w:right="0" w:firstLine="0"/>
            </w:pPr>
            <w:r>
              <w:rPr>
                <w:rStyle w:val="CharStyle19"/>
              </w:rPr>
              <w:t>металл</w:t>
            </w:r>
          </w:p>
        </w:tc>
        <w:tc>
          <w:tcPr>
            <w:shd w:val="clear" w:color="auto" w:fill="FFFFFF"/>
            <w:tcBorders>
              <w:left w:val="single" w:sz="4"/>
              <w:right w:val="single" w:sz="4"/>
              <w:top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120" w:line="220" w:lineRule="exact"/>
              <w:ind w:left="1080" w:right="0" w:firstLine="0"/>
            </w:pPr>
            <w:r>
              <w:rPr>
                <w:rStyle w:val="CharStyle19"/>
              </w:rPr>
              <w:t>Определить</w:t>
            </w:r>
          </w:p>
          <w:p>
            <w:pPr>
              <w:pStyle w:val="Style13"/>
              <w:framePr w:w="9407"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19"/>
              </w:rPr>
              <w:t>проектом</w:t>
            </w:r>
          </w:p>
        </w:tc>
      </w:tr>
      <w:tr>
        <w:trPr>
          <w:trHeight w:val="295" w:hRule="exact"/>
        </w:trPr>
        <w:tc>
          <w:tcPr>
            <w:shd w:val="clear" w:color="auto" w:fill="FFFFFF"/>
            <w:tcBorders>
              <w:left w:val="single" w:sz="4"/>
              <w:top w:val="single" w:sz="4"/>
              <w:bottom w:val="single" w:sz="4"/>
            </w:tcBorders>
            <w:vAlign w:val="bottom"/>
          </w:tcPr>
          <w:p>
            <w:pPr>
              <w:pStyle w:val="Style13"/>
              <w:framePr w:w="9407" w:wrap="notBeside" w:vAnchor="text" w:hAnchor="text" w:xAlign="center" w:y="1"/>
              <w:widowControl w:val="0"/>
              <w:keepNext w:val="0"/>
              <w:keepLines w:val="0"/>
              <w:shd w:val="clear" w:color="auto" w:fill="auto"/>
              <w:bidi w:val="0"/>
              <w:jc w:val="left"/>
              <w:spacing w:before="0" w:after="0" w:line="220" w:lineRule="exact"/>
              <w:ind w:left="20" w:right="0" w:firstLine="700"/>
            </w:pPr>
            <w:r>
              <w:rPr>
                <w:rStyle w:val="CharStyle19"/>
              </w:rPr>
              <w:t>Год постройки</w:t>
            </w:r>
          </w:p>
        </w:tc>
        <w:tc>
          <w:tcPr>
            <w:shd w:val="clear" w:color="auto" w:fill="FFFFFF"/>
            <w:tcBorders>
              <w:left w:val="single" w:sz="4"/>
              <w:top w:val="single" w:sz="4"/>
              <w:bottom w:val="single" w:sz="4"/>
            </w:tcBorders>
            <w:vAlign w:val="bottom"/>
          </w:tcPr>
          <w:p>
            <w:pPr>
              <w:pStyle w:val="Style13"/>
              <w:framePr w:w="9407" w:wrap="notBeside" w:vAnchor="text" w:hAnchor="text" w:xAlign="center" w:y="1"/>
              <w:widowControl w:val="0"/>
              <w:keepNext w:val="0"/>
              <w:keepLines w:val="0"/>
              <w:shd w:val="clear" w:color="auto" w:fill="auto"/>
              <w:bidi w:val="0"/>
              <w:jc w:val="right"/>
              <w:spacing w:before="0" w:after="0" w:line="220" w:lineRule="exact"/>
              <w:ind w:left="0" w:right="680" w:firstLine="0"/>
            </w:pPr>
            <w:r>
              <w:rPr>
                <w:rStyle w:val="CharStyle19"/>
              </w:rPr>
              <w:t>1988</w:t>
            </w:r>
          </w:p>
        </w:tc>
        <w:tc>
          <w:tcPr>
            <w:shd w:val="clear" w:color="auto" w:fill="FFFFFF"/>
            <w:tcBorders>
              <w:left w:val="single" w:sz="4"/>
              <w:right w:val="single" w:sz="4"/>
              <w:top w:val="single" w:sz="4"/>
              <w:bottom w:val="single" w:sz="4"/>
            </w:tcBorders>
            <w:vAlign w:val="bottom"/>
          </w:tcPr>
          <w:p>
            <w:pPr>
              <w:pStyle w:val="Style13"/>
              <w:framePr w:w="9407" w:wrap="notBeside" w:vAnchor="text" w:hAnchor="text" w:xAlign="center" w:y="1"/>
              <w:tabs>
                <w:tab w:leader="dot" w:pos="40" w:val="left"/>
                <w:tab w:leader="dot" w:pos="374" w:val="left"/>
                <w:tab w:leader="dot" w:pos="1649" w:val="left"/>
                <w:tab w:leader="dot" w:pos="1667" w:val="left"/>
                <w:tab w:leader="dot" w:pos="1757" w:val="left"/>
              </w:tabs>
              <w:widowControl w:val="0"/>
              <w:keepNext w:val="0"/>
              <w:keepLines w:val="0"/>
              <w:shd w:val="clear" w:color="auto" w:fill="auto"/>
              <w:bidi w:val="0"/>
              <w:jc w:val="both"/>
              <w:spacing w:before="0" w:after="0" w:line="80" w:lineRule="exact"/>
              <w:ind w:left="0" w:right="0" w:firstLine="0"/>
            </w:pPr>
            <w:r>
              <w:rPr>
                <w:rStyle w:val="CharStyle20"/>
              </w:rPr>
              <w:tab/>
              <w:tab/>
              <w:t xml:space="preserve"> -</w:t>
              <w:tab/>
              <w:tab/>
              <w:t xml:space="preserve"> </w:t>
              <w:tab/>
              <w:t xml:space="preserve"> </w:t>
            </w:r>
            <w:r>
              <w:rPr>
                <w:rStyle w:val="CharStyle20"/>
                <w:lang w:val="en-US" w:eastAsia="en-US" w:bidi="en-US"/>
              </w:rPr>
              <w:t>J</w:t>
            </w:r>
          </w:p>
        </w:tc>
      </w:tr>
    </w:tbl>
    <w:p>
      <w:pPr>
        <w:widowControl w:val="0"/>
        <w:rPr>
          <w:sz w:val="2"/>
          <w:szCs w:val="2"/>
        </w:rPr>
      </w:pPr>
    </w:p>
    <w:p>
      <w:pPr>
        <w:pStyle w:val="Style13"/>
        <w:widowControl w:val="0"/>
        <w:keepNext w:val="0"/>
        <w:keepLines w:val="0"/>
        <w:shd w:val="clear" w:color="auto" w:fill="auto"/>
        <w:bidi w:val="0"/>
        <w:jc w:val="both"/>
        <w:spacing w:before="247" w:after="0" w:line="274" w:lineRule="exact"/>
        <w:ind w:left="60" w:right="40" w:firstLine="720"/>
      </w:pPr>
      <w:r>
        <w:rPr>
          <w:lang w:val="ru-RU" w:eastAsia="ru-RU" w:bidi="ru-RU"/>
          <w:w w:val="100"/>
          <w:spacing w:val="0"/>
          <w:color w:val="000000"/>
          <w:position w:val="0"/>
        </w:rPr>
        <w:t>В соответствии с п. 5.1 Технического задания . Проектные решения разработать в соответствии с требованиями:</w:t>
      </w:r>
    </w:p>
    <w:p>
      <w:pPr>
        <w:pStyle w:val="Style13"/>
        <w:numPr>
          <w:ilvl w:val="0"/>
          <w:numId w:val="7"/>
        </w:numPr>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 xml:space="preserve"> «Классификации работ по капитальному ремонту, ремонту и содержанию автомобильных дорог» (Приказ Минтранса России от 16.11.2012 № 402);</w:t>
      </w:r>
    </w:p>
    <w:p>
      <w:pPr>
        <w:pStyle w:val="Style13"/>
        <w:numPr>
          <w:ilvl w:val="0"/>
          <w:numId w:val="7"/>
        </w:numPr>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 xml:space="preserve"> технического регламента Таможенного союза «Безопасность автомобильных дорог» (ТР ТС 014/2011);</w:t>
      </w:r>
    </w:p>
    <w:p>
      <w:pPr>
        <w:pStyle w:val="Style13"/>
        <w:numPr>
          <w:ilvl w:val="0"/>
          <w:numId w:val="7"/>
        </w:numPr>
        <w:widowControl w:val="0"/>
        <w:keepNext w:val="0"/>
        <w:keepLines w:val="0"/>
        <w:shd w:val="clear" w:color="auto" w:fill="auto"/>
        <w:bidi w:val="0"/>
        <w:jc w:val="both"/>
        <w:spacing w:before="0" w:after="0" w:line="274" w:lineRule="exact"/>
        <w:ind w:left="60" w:right="40" w:firstLine="720"/>
      </w:pPr>
      <w:r>
        <w:rPr>
          <w:lang w:val="ru-RU" w:eastAsia="ru-RU" w:bidi="ru-RU"/>
          <w:w w:val="100"/>
          <w:spacing w:val="0"/>
          <w:color w:val="000000"/>
          <w:position w:val="0"/>
        </w:rPr>
        <w:t xml:space="preserve"> других нормативно-технических документов, которые применяются в части, не противоречащей требованиям технического регламента Таможенного союза "Безопасность автомобильных дорог" (ТР ТС 014/2011) и гармонизированных с ним межгосударственных стандартов» (Приложение 1 к Описанию объекта закупки (Техническому заданию)).</w:t>
      </w:r>
    </w:p>
    <w:p>
      <w:pPr>
        <w:pStyle w:val="Style13"/>
        <w:numPr>
          <w:ilvl w:val="0"/>
          <w:numId w:val="7"/>
        </w:numPr>
        <w:widowControl w:val="0"/>
        <w:keepNext w:val="0"/>
        <w:keepLines w:val="0"/>
        <w:shd w:val="clear" w:color="auto" w:fill="auto"/>
        <w:bidi w:val="0"/>
        <w:jc w:val="both"/>
        <w:spacing w:before="0" w:after="0" w:line="281" w:lineRule="exact"/>
        <w:ind w:left="40" w:right="40" w:firstLine="700"/>
      </w:pPr>
      <w:r>
        <w:rPr>
          <w:lang w:val="ru-RU" w:eastAsia="ru-RU" w:bidi="ru-RU"/>
          <w:w w:val="100"/>
          <w:spacing w:val="0"/>
          <w:color w:val="000000"/>
          <w:position w:val="0"/>
        </w:rPr>
        <w:t xml:space="preserve"> Федерального закона от 27.12.2002 </w:t>
      </w:r>
      <w:r>
        <w:rPr>
          <w:lang w:val="en-US" w:eastAsia="en-US" w:bidi="en-US"/>
          <w:w w:val="100"/>
          <w:spacing w:val="0"/>
          <w:color w:val="000000"/>
          <w:position w:val="0"/>
        </w:rPr>
        <w:t xml:space="preserve">N </w:t>
      </w:r>
      <w:r>
        <w:rPr>
          <w:lang w:val="ru-RU" w:eastAsia="ru-RU" w:bidi="ru-RU"/>
          <w:w w:val="100"/>
          <w:spacing w:val="0"/>
          <w:color w:val="000000"/>
          <w:position w:val="0"/>
        </w:rPr>
        <w:t>184-ФЗ «О техническом регулировании» и другими действующими нормативными документами и техническими указаниями.</w:t>
      </w:r>
    </w:p>
    <w:p>
      <w:pPr>
        <w:pStyle w:val="Style13"/>
        <w:widowControl w:val="0"/>
        <w:keepNext w:val="0"/>
        <w:keepLines w:val="0"/>
        <w:shd w:val="clear" w:color="auto" w:fill="auto"/>
        <w:bidi w:val="0"/>
        <w:jc w:val="both"/>
        <w:spacing w:before="0" w:after="0" w:line="281" w:lineRule="exact"/>
        <w:ind w:left="40" w:right="40" w:firstLine="700"/>
      </w:pPr>
      <w:r>
        <w:rPr>
          <w:lang w:val="ru-RU" w:eastAsia="ru-RU" w:bidi="ru-RU"/>
          <w:w w:val="100"/>
          <w:spacing w:val="0"/>
          <w:color w:val="000000"/>
          <w:position w:val="0"/>
        </w:rPr>
        <w:t>Рекомендуемый перечень нормативно-технических документов представлен в Приложении 1 к Описанию объекта закупки (Техническому заданию).</w:t>
      </w:r>
    </w:p>
    <w:p>
      <w:pPr>
        <w:pStyle w:val="Style13"/>
        <w:widowControl w:val="0"/>
        <w:keepNext w:val="0"/>
        <w:keepLines w:val="0"/>
        <w:shd w:val="clear" w:color="auto" w:fill="auto"/>
        <w:bidi w:val="0"/>
        <w:jc w:val="both"/>
        <w:spacing w:before="0" w:after="0" w:line="281" w:lineRule="exact"/>
        <w:ind w:left="40" w:right="40" w:firstLine="700"/>
      </w:pPr>
      <w:r>
        <w:rPr>
          <w:lang w:val="ru-RU" w:eastAsia="ru-RU" w:bidi="ru-RU"/>
          <w:w w:val="100"/>
          <w:spacing w:val="0"/>
          <w:color w:val="000000"/>
          <w:position w:val="0"/>
        </w:rPr>
        <w:t>Подпунктом 5.2 Технического задания определен перечень документов, которые должен содержать разрабатываемый проект:</w:t>
      </w:r>
    </w:p>
    <w:p>
      <w:pPr>
        <w:pStyle w:val="Style13"/>
        <w:numPr>
          <w:ilvl w:val="0"/>
          <w:numId w:val="7"/>
        </w:numPr>
        <w:widowControl w:val="0"/>
        <w:keepNext w:val="0"/>
        <w:keepLines w:val="0"/>
        <w:shd w:val="clear" w:color="auto" w:fill="auto"/>
        <w:bidi w:val="0"/>
        <w:jc w:val="both"/>
        <w:spacing w:before="0" w:after="2" w:line="220" w:lineRule="exact"/>
        <w:ind w:left="40" w:right="0" w:firstLine="700"/>
      </w:pPr>
      <w:r>
        <w:rPr>
          <w:lang w:val="ru-RU" w:eastAsia="ru-RU" w:bidi="ru-RU"/>
          <w:w w:val="100"/>
          <w:spacing w:val="0"/>
          <w:color w:val="000000"/>
          <w:position w:val="0"/>
        </w:rPr>
        <w:t xml:space="preserve"> общую пояснительную записку;</w:t>
      </w:r>
    </w:p>
    <w:p>
      <w:pPr>
        <w:pStyle w:val="Style13"/>
        <w:numPr>
          <w:ilvl w:val="0"/>
          <w:numId w:val="7"/>
        </w:numPr>
        <w:widowControl w:val="0"/>
        <w:keepNext w:val="0"/>
        <w:keepLines w:val="0"/>
        <w:shd w:val="clear" w:color="auto" w:fill="auto"/>
        <w:bidi w:val="0"/>
        <w:jc w:val="both"/>
        <w:spacing w:before="0" w:after="0" w:line="220" w:lineRule="exact"/>
        <w:ind w:left="40" w:right="0" w:firstLine="700"/>
      </w:pPr>
      <w:r>
        <w:rPr>
          <w:lang w:val="ru-RU" w:eastAsia="ru-RU" w:bidi="ru-RU"/>
          <w:w w:val="100"/>
          <w:spacing w:val="0"/>
          <w:color w:val="000000"/>
          <w:position w:val="0"/>
        </w:rPr>
        <w:t xml:space="preserve"> отчет по предпроектному обследованию;</w:t>
      </w:r>
    </w:p>
    <w:p>
      <w:pPr>
        <w:pStyle w:val="Style13"/>
        <w:numPr>
          <w:ilvl w:val="0"/>
          <w:numId w:val="7"/>
        </w:numPr>
        <w:widowControl w:val="0"/>
        <w:keepNext w:val="0"/>
        <w:keepLines w:val="0"/>
        <w:shd w:val="clear" w:color="auto" w:fill="auto"/>
        <w:bidi w:val="0"/>
        <w:jc w:val="both"/>
        <w:spacing w:before="0" w:after="0" w:line="263" w:lineRule="exact"/>
        <w:ind w:left="40" w:right="40" w:firstLine="700"/>
      </w:pPr>
      <w:r>
        <w:rPr>
          <w:lang w:val="ru-RU" w:eastAsia="ru-RU" w:bidi="ru-RU"/>
          <w:w w:val="100"/>
          <w:spacing w:val="0"/>
          <w:color w:val="000000"/>
          <w:position w:val="0"/>
        </w:rPr>
        <w:t xml:space="preserve"> технические решения по ремонту искусственного сооружения, в том числе план мостового перехода;</w:t>
      </w:r>
    </w:p>
    <w:p>
      <w:pPr>
        <w:pStyle w:val="Style13"/>
        <w:numPr>
          <w:ilvl w:val="0"/>
          <w:numId w:val="7"/>
        </w:numPr>
        <w:widowControl w:val="0"/>
        <w:keepNext w:val="0"/>
        <w:keepLines w:val="0"/>
        <w:shd w:val="clear" w:color="auto" w:fill="auto"/>
        <w:bidi w:val="0"/>
        <w:jc w:val="both"/>
        <w:spacing w:before="0" w:after="0" w:line="270" w:lineRule="exact"/>
        <w:ind w:left="40" w:right="40" w:firstLine="700"/>
      </w:pPr>
      <w:r>
        <w:rPr>
          <w:lang w:val="ru-RU" w:eastAsia="ru-RU" w:bidi="ru-RU"/>
          <w:w w:val="100"/>
          <w:spacing w:val="0"/>
          <w:color w:val="000000"/>
          <w:position w:val="0"/>
        </w:rPr>
        <w:t xml:space="preserve"> технические решения по ремонту подходов к мосту в пределах 50 м с каждой стороны моста;</w:t>
      </w:r>
    </w:p>
    <w:p>
      <w:pPr>
        <w:pStyle w:val="Style13"/>
        <w:numPr>
          <w:ilvl w:val="0"/>
          <w:numId w:val="7"/>
        </w:numPr>
        <w:widowControl w:val="0"/>
        <w:keepNext w:val="0"/>
        <w:keepLines w:val="0"/>
        <w:shd w:val="clear" w:color="auto" w:fill="auto"/>
        <w:bidi w:val="0"/>
        <w:jc w:val="both"/>
        <w:spacing w:before="0" w:after="0" w:line="270" w:lineRule="exact"/>
        <w:ind w:left="40" w:right="40" w:firstLine="700"/>
      </w:pPr>
      <w:r>
        <w:rPr>
          <w:lang w:val="ru-RU" w:eastAsia="ru-RU" w:bidi="ru-RU"/>
          <w:w w:val="100"/>
          <w:spacing w:val="0"/>
          <w:color w:val="000000"/>
          <w:position w:val="0"/>
        </w:rPr>
        <w:t xml:space="preserve"> технические решения по ремонту инженерных сетей, расположенных на сооружении (при необходимости);</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раздел организации ремонта;</w:t>
      </w:r>
    </w:p>
    <w:p>
      <w:pPr>
        <w:pStyle w:val="Style13"/>
        <w:numPr>
          <w:ilvl w:val="0"/>
          <w:numId w:val="7"/>
        </w:numPr>
        <w:widowControl w:val="0"/>
        <w:keepNext w:val="0"/>
        <w:keepLines w:val="0"/>
        <w:shd w:val="clear" w:color="auto" w:fill="auto"/>
        <w:bidi w:val="0"/>
        <w:jc w:val="both"/>
        <w:spacing w:before="0" w:after="0" w:line="270" w:lineRule="exact"/>
        <w:ind w:left="40" w:right="40" w:firstLine="700"/>
      </w:pPr>
      <w:r>
        <w:rPr>
          <w:lang w:val="ru-RU" w:eastAsia="ru-RU" w:bidi="ru-RU"/>
          <w:w w:val="100"/>
          <w:spacing w:val="0"/>
          <w:color w:val="000000"/>
          <w:position w:val="0"/>
        </w:rPr>
        <w:t xml:space="preserve"> раздел организации и обеспечения безопасности движения (схемы) на время производства ремонтных работ и после их проведения;</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ведомости объемов работ;</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ведомости потребности в материалах и ресурсах;</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материалы согласований;</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копию задания на проектирование;</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материалы исходных данных;</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мероприятия по охране окружающей среды;</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мероприятия по обеспечению пожарной безопасности;</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сводный сметный расчет;</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локальные сметы;</w:t>
      </w:r>
    </w:p>
    <w:p>
      <w:pPr>
        <w:pStyle w:val="Style13"/>
        <w:numPr>
          <w:ilvl w:val="0"/>
          <w:numId w:val="7"/>
        </w:numPr>
        <w:widowControl w:val="0"/>
        <w:keepNext w:val="0"/>
        <w:keepLines w:val="0"/>
        <w:shd w:val="clear" w:color="auto" w:fill="auto"/>
        <w:bidi w:val="0"/>
        <w:jc w:val="both"/>
        <w:spacing w:before="0" w:after="0" w:line="270" w:lineRule="exact"/>
        <w:ind w:left="40" w:right="0" w:firstLine="700"/>
      </w:pPr>
      <w:r>
        <w:rPr>
          <w:lang w:val="ru-RU" w:eastAsia="ru-RU" w:bidi="ru-RU"/>
          <w:w w:val="100"/>
          <w:spacing w:val="0"/>
          <w:color w:val="000000"/>
          <w:position w:val="0"/>
        </w:rPr>
        <w:t xml:space="preserve"> ведомость источников получения материалов.</w:t>
      </w:r>
    </w:p>
    <w:p>
      <w:pPr>
        <w:pStyle w:val="Style13"/>
        <w:widowControl w:val="0"/>
        <w:keepNext w:val="0"/>
        <w:keepLines w:val="0"/>
        <w:shd w:val="clear" w:color="auto" w:fill="auto"/>
        <w:bidi w:val="0"/>
        <w:jc w:val="both"/>
        <w:spacing w:before="0" w:after="0" w:line="270" w:lineRule="exact"/>
        <w:ind w:left="40" w:right="40" w:firstLine="700"/>
      </w:pPr>
      <w:r>
        <w:rPr>
          <w:lang w:val="ru-RU" w:eastAsia="ru-RU" w:bidi="ru-RU"/>
          <w:w w:val="100"/>
          <w:spacing w:val="0"/>
          <w:color w:val="000000"/>
          <w:position w:val="0"/>
        </w:rPr>
        <w:t>-согласования проектных решений с владельцами инженерных сетей, земельных участков.</w:t>
      </w:r>
    </w:p>
    <w:p>
      <w:pPr>
        <w:pStyle w:val="Style13"/>
        <w:widowControl w:val="0"/>
        <w:keepNext w:val="0"/>
        <w:keepLines w:val="0"/>
        <w:shd w:val="clear" w:color="auto" w:fill="auto"/>
        <w:bidi w:val="0"/>
        <w:jc w:val="both"/>
        <w:spacing w:before="0" w:after="0" w:line="270" w:lineRule="exact"/>
        <w:ind w:left="40" w:right="40" w:firstLine="700"/>
      </w:pPr>
      <w:r>
        <w:rPr>
          <w:lang w:val="ru-RU" w:eastAsia="ru-RU" w:bidi="ru-RU"/>
          <w:w w:val="100"/>
          <w:spacing w:val="0"/>
          <w:color w:val="000000"/>
          <w:position w:val="0"/>
        </w:rPr>
        <w:t>Дополнительные требования к участникам закупок, предусмотренные Постановлением № 2571 призваны обеспечить допуск к участию в закупках квалифицированных подрядчиков. Необходимость установления таких требований к участникам закупок обусловлена размером</w:t>
      </w:r>
    </w:p>
    <w:p>
      <w:pPr>
        <w:pStyle w:val="Style21"/>
        <w:widowControl w:val="0"/>
        <w:keepNext/>
        <w:keepLines/>
        <w:shd w:val="clear" w:color="auto" w:fill="auto"/>
        <w:bidi w:val="0"/>
        <w:jc w:val="left"/>
        <w:spacing w:before="0" w:after="0" w:line="320" w:lineRule="exact"/>
        <w:ind w:left="40" w:right="0" w:firstLine="0"/>
      </w:pPr>
      <w:bookmarkStart w:id="5" w:name="bookmark5"/>
      <w:r>
        <w:rPr>
          <w:lang w:val="ru-RU" w:eastAsia="ru-RU" w:bidi="ru-RU"/>
          <w:w w:val="100"/>
          <w:spacing w:val="0"/>
          <w:color w:val="000000"/>
          <w:position w:val="0"/>
        </w:rPr>
        <w:t>нмцк.</w:t>
      </w:r>
      <w:bookmarkEnd w:id="5"/>
    </w:p>
    <w:p>
      <w:pPr>
        <w:pStyle w:val="Style13"/>
        <w:widowControl w:val="0"/>
        <w:keepNext w:val="0"/>
        <w:keepLines w:val="0"/>
        <w:shd w:val="clear" w:color="auto" w:fill="auto"/>
        <w:bidi w:val="0"/>
        <w:jc w:val="both"/>
        <w:spacing w:before="0" w:after="0" w:line="266" w:lineRule="exact"/>
        <w:ind w:left="40" w:right="40" w:firstLine="700"/>
      </w:pPr>
      <w:r>
        <w:rPr>
          <w:lang w:val="ru-RU" w:eastAsia="ru-RU" w:bidi="ru-RU"/>
          <w:w w:val="100"/>
          <w:spacing w:val="0"/>
          <w:color w:val="000000"/>
          <w:position w:val="0"/>
        </w:rPr>
        <w:t>Позиция 6 Постановления № 2571 предусматривает установление дополнительных требований при закупке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 в случае, если НМЦК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3"/>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Согласно ч. 1 ст. 3 ГрК РФ законодательство о градостроительной деятельности состоит из настоящего Кодекса,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pPr>
        <w:pStyle w:val="Style13"/>
        <w:widowControl w:val="0"/>
        <w:keepNext w:val="0"/>
        <w:keepLines w:val="0"/>
        <w:shd w:val="clear" w:color="auto" w:fill="auto"/>
        <w:bidi w:val="0"/>
        <w:jc w:val="both"/>
        <w:spacing w:before="0" w:after="0" w:line="274" w:lineRule="exact"/>
        <w:ind w:left="40" w:right="40" w:firstLine="700"/>
      </w:pPr>
      <w:r>
        <w:rPr>
          <w:lang w:val="ru-RU" w:eastAsia="ru-RU" w:bidi="ru-RU"/>
          <w:w w:val="100"/>
          <w:spacing w:val="0"/>
          <w:color w:val="000000"/>
          <w:position w:val="0"/>
        </w:rPr>
        <w:t>В соответствии ч. 1 ст. 48 ГрК РФ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 12.2 настоящей статьи.</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На заседании Комиссии УФАС представитель Заказчика пояснил, что при составлении Технического задания руководствовался, в том числе, ст. 18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ФЗ 257).</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 1 ст. 18 ФЗ 257 ремонт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 2 ст. 18 ФЗ 257 порядок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работы по подготовке проектной документации в соответствии с требованиями ГрК РФ проводятся только на строительство, реконструкцию, капитальный ремонт объектов капитального строительства.</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письму Минфина России (исх. от 20.05.2022 № 24-06-07/41765) в случае, если законодательством о градостроительной деятельности предусмотрена необходимость подготовки проектной документации и (или) выполнения инженерных изысканий и НМЦК при осуществлении закупки таких работ превышает установленные п. 3 Постановления № 2571 пределы, заказчик обязан установить дополнительные требования к участникам закупки.</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позицией Департамента дорожного хозяйства и транспорта Вологодской области (исх. от 02.08.2022 № ИХ. 13-2674/2022) предметом конкурса является разработка проекта выполнения работ на ремонт моста. Законодательство о градостроительной деятельности не регламентирует работы по ремонту, не являющимся капитальным. Таким образом, дополнительные требования к участникам закупки на основании Постановления № 2571 не устанавливаются.</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 учетом требований градостроительного законодательства, Технического задания, Комиссия УФАС приходит к выводу о том, что предметом закупки является разработка проекта на выполнение работ по ремонту моста, в рамках которого не предполагается изменение технических характеристик объекта.</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в извещении об осуществлении закупки правомерно не установлены дополнительные требования к участникам закупки в соответствии с ч. 2 ст. 31 Закона о контрактной системе и Постановления № 2571.</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Ссылка Заявителя на решения и предписания УФАС по Вологодской области не может быть принята во внимание Комиссией УФАС ввиду того, что Заказчиком разработано новое Техническое задание, антимонопольным органом решение принимается в каждом конкретном случае, исходя из всех обстоятельств дела.</w:t>
      </w:r>
    </w:p>
    <w:p>
      <w:pPr>
        <w:pStyle w:val="Style1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 4 ст. 106 Закона о контрактной системе участник закупки, подавший жалобу, вправе представить для рассмотрения жалобы по существу информацию и документы,</w:t>
      </w:r>
    </w:p>
    <w:p>
      <w:pPr>
        <w:pStyle w:val="Style1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В силу вышеуказанной нормы обязанность доказывания нарушения Заказчиком положений Закона о контрактной системы лежит на подателе жалобы, при этом в составе жалобы отсутствуют документы и сведения, свидетельствующие о неправомерности не установления дополнительных требований к участникам закупки в соответствии с Постановлением № 2571.</w:t>
      </w:r>
    </w:p>
    <w:p>
      <w:pPr>
        <w:pStyle w:val="Style13"/>
        <w:widowControl w:val="0"/>
        <w:keepNext w:val="0"/>
        <w:keepLines w:val="0"/>
        <w:shd w:val="clear" w:color="auto" w:fill="auto"/>
        <w:bidi w:val="0"/>
        <w:jc w:val="both"/>
        <w:spacing w:before="0" w:after="0" w:line="270" w:lineRule="exact"/>
        <w:ind w:left="20" w:right="20" w:firstLine="70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представителей Заказчика, Уполномоченного учреждения, довод Заявителя признан необоснованным.</w:t>
      </w:r>
      <w:r>
        <w:br w:type="page"/>
      </w:r>
    </w:p>
    <w:p>
      <w:pPr>
        <w:pStyle w:val="Style13"/>
        <w:widowControl w:val="0"/>
        <w:keepNext w:val="0"/>
        <w:keepLines w:val="0"/>
        <w:shd w:val="clear" w:color="auto" w:fill="auto"/>
        <w:bidi w:val="0"/>
        <w:jc w:val="both"/>
        <w:spacing w:before="0" w:after="0" w:line="281" w:lineRule="exact"/>
        <w:ind w:left="0" w:right="20" w:firstLine="720"/>
      </w:pPr>
      <w:r>
        <w:rPr>
          <w:rStyle w:val="CharStyle23"/>
        </w:rPr>
        <w:t xml:space="preserve">В </w:t>
      </w:r>
      <w:r>
        <w:rPr>
          <w:lang w:val="ru-RU" w:eastAsia="ru-RU" w:bidi="ru-RU"/>
          <w:w w:val="100"/>
          <w:spacing w:val="0"/>
          <w:color w:val="000000"/>
          <w:position w:val="0"/>
        </w:rPr>
        <w:t>соответствии с п. 1 ч. 15 ст. 99 Закона о контрактной системе Комиссия УФАС провела внеплановую проверку, по результатам которой при проведении конкурса нарушений не выявлено.</w:t>
      </w:r>
    </w:p>
    <w:p>
      <w:pPr>
        <w:pStyle w:val="Style13"/>
        <w:widowControl w:val="0"/>
        <w:keepNext w:val="0"/>
        <w:keepLines w:val="0"/>
        <w:shd w:val="clear" w:color="auto" w:fill="auto"/>
        <w:bidi w:val="0"/>
        <w:jc w:val="both"/>
        <w:spacing w:before="0" w:after="281" w:line="281" w:lineRule="exact"/>
        <w:ind w:left="0" w:right="20" w:firstLine="720"/>
      </w:pPr>
      <w:r>
        <w:rPr>
          <w:lang w:val="ru-RU" w:eastAsia="ru-RU" w:bidi="ru-RU"/>
          <w:w w:val="100"/>
          <w:spacing w:val="0"/>
          <w:color w:val="000000"/>
          <w:position w:val="0"/>
        </w:rPr>
        <w:t>На основании вышеизложенного, Комиссия УФАС, руководствуясь ст. 99, ст. 106 Закона о контрактной системе, Административным регламентом,</w:t>
      </w:r>
    </w:p>
    <w:p>
      <w:pPr>
        <w:pStyle w:val="Style7"/>
        <w:widowControl w:val="0"/>
        <w:keepNext/>
        <w:keepLines/>
        <w:shd w:val="clear" w:color="auto" w:fill="auto"/>
        <w:bidi w:val="0"/>
        <w:jc w:val="left"/>
        <w:spacing w:before="0" w:after="261" w:line="230" w:lineRule="exact"/>
        <w:ind w:left="4520" w:right="0" w:firstLine="0"/>
      </w:pPr>
      <w:bookmarkStart w:id="6" w:name="bookmark6"/>
      <w:r>
        <w:rPr>
          <w:lang w:val="ru-RU" w:eastAsia="ru-RU" w:bidi="ru-RU"/>
          <w:w w:val="100"/>
          <w:spacing w:val="0"/>
          <w:color w:val="000000"/>
          <w:position w:val="0"/>
        </w:rPr>
        <w:t>РЕШИЛА:</w:t>
      </w:r>
      <w:bookmarkEnd w:id="6"/>
    </w:p>
    <w:p>
      <w:pPr>
        <w:pStyle w:val="Style13"/>
        <w:numPr>
          <w:ilvl w:val="0"/>
          <w:numId w:val="9"/>
        </w:numPr>
        <w:tabs>
          <w:tab w:leader="none" w:pos="1359" w:val="left"/>
        </w:tabs>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Признать жалобу ООО «МОСТИНЖПРОЕКТ» необоснованной.</w:t>
      </w:r>
    </w:p>
    <w:p>
      <w:pPr>
        <w:pStyle w:val="Style13"/>
        <w:numPr>
          <w:ilvl w:val="0"/>
          <w:numId w:val="9"/>
        </w:numPr>
        <w:tabs>
          <w:tab w:leader="none" w:pos="1359" w:val="left"/>
        </w:tabs>
        <w:widowControl w:val="0"/>
        <w:keepNext w:val="0"/>
        <w:keepLines w:val="0"/>
        <w:shd w:val="clear" w:color="auto" w:fill="auto"/>
        <w:bidi w:val="0"/>
        <w:jc w:val="both"/>
        <w:spacing w:before="0" w:after="283"/>
        <w:ind w:left="0" w:right="20" w:firstLine="720"/>
      </w:pPr>
      <w:r>
        <w:rPr>
          <w:lang w:val="ru-RU" w:eastAsia="ru-RU" w:bidi="ru-RU"/>
          <w:w w:val="100"/>
          <w:spacing w:val="0"/>
          <w:color w:val="000000"/>
          <w:position w:val="0"/>
        </w:rPr>
        <w:t>Требование о приостановлении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framePr w:w="3190" w:h="2592" w:wrap="around" w:vAnchor="text" w:hAnchor="margin" w:x="4265" w:y="487"/>
        <w:widowControl w:val="0"/>
        <w:rPr>
          <w:sz w:val="2"/>
          <w:szCs w:val="2"/>
        </w:rPr>
      </w:pPr>
      <w:r>
        <w:pict>
          <v:shape id="_x0000_s1028" type="#_x0000_t75" style="width:159pt;height:130pt;">
            <v:imagedata r:id="rId8" r:href="rId9"/>
          </v:shape>
        </w:pict>
      </w:r>
    </w:p>
    <w:p>
      <w:pPr>
        <w:pStyle w:val="Style3"/>
        <w:framePr w:w="1512" w:h="2164" w:wrap="around" w:vAnchor="text" w:hAnchor="margin" w:x="7465" w:y="48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Ростиславова</w:t>
      </w:r>
    </w:p>
    <w:p>
      <w:pPr>
        <w:pStyle w:val="Style3"/>
        <w:framePr w:w="1512" w:h="2164" w:wrap="around" w:vAnchor="text" w:hAnchor="margin" w:x="7465" w:y="48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Сучков</w:t>
      </w:r>
    </w:p>
    <w:p>
      <w:pPr>
        <w:pStyle w:val="Style3"/>
        <w:framePr w:w="1512" w:h="2164" w:wrap="around" w:vAnchor="text" w:hAnchor="margin" w:x="7465" w:y="48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Предтеченская . Кузнецова</w:t>
      </w:r>
    </w:p>
    <w:p>
      <w:pPr>
        <w:pStyle w:val="Style24"/>
        <w:widowControl w:val="0"/>
        <w:keepNext w:val="0"/>
        <w:keepLines w:val="0"/>
        <w:shd w:val="clear" w:color="auto" w:fill="auto"/>
        <w:bidi w:val="0"/>
        <w:jc w:val="left"/>
        <w:spacing w:before="0" w:after="243"/>
        <w:ind w:left="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3"/>
        <w:widowControl w:val="0"/>
        <w:keepNext w:val="0"/>
        <w:keepLines w:val="0"/>
        <w:shd w:val="clear" w:color="auto" w:fill="auto"/>
        <w:bidi w:val="0"/>
        <w:jc w:val="left"/>
        <w:spacing w:before="0" w:after="309" w:line="220" w:lineRule="exact"/>
        <w:ind w:left="0" w:right="0" w:firstLine="0"/>
      </w:pPr>
      <w:r>
        <w:rPr>
          <w:lang w:val="ru-RU" w:eastAsia="ru-RU" w:bidi="ru-RU"/>
          <w:w w:val="100"/>
          <w:spacing w:val="0"/>
          <w:color w:val="000000"/>
          <w:position w:val="0"/>
        </w:rPr>
        <w:t>Председатель комиссии</w:t>
      </w:r>
    </w:p>
    <w:p>
      <w:pPr>
        <w:pStyle w:val="Style13"/>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Члены комиссии:</w:t>
      </w:r>
    </w:p>
    <w:sectPr>
      <w:headerReference w:type="even" r:id="rId10"/>
      <w:headerReference w:type="default" r:id="rId11"/>
      <w:footnotePr>
        <w:pos w:val="pageBottom"/>
        <w:numFmt w:val="decimal"/>
        <w:numRestart w:val="continuous"/>
      </w:footnotePr>
      <w:pgSz w:w="11909" w:h="16838"/>
      <w:pgMar w:top="640" w:left="966" w:right="966" w:bottom="1338" w:header="0" w:footer="3" w:gutter="11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535.15pt;margin-top:20.65pt;width:3.95pt;height:6.5pt;z-index:-188744064;mso-wrap-style:none;mso-wrap-distance-left:5.pt;mso-wrap-distance-right:5.pt;mso-position-horizontal-relative:page;mso-position-vertical-relative:page" wrapcoords="0 0" filled="f" stroked="f">
          <v:textbox style="mso-fit-shape-to-text:t" inset="0,0,0,0">
            <w:txbxContent>
              <w:p>
                <w:pPr>
                  <w:pStyle w:val="Style15"/>
                  <w:widowControl w:val="0"/>
                  <w:keepNext w:val="0"/>
                  <w:keepLines w:val="0"/>
                  <w:shd w:val="clear" w:color="auto" w:fill="auto"/>
                  <w:bidi w:val="0"/>
                  <w:jc w:val="left"/>
                  <w:spacing w:before="0" w:after="0" w:line="240" w:lineRule="auto"/>
                  <w:ind w:left="0" w:right="0" w:firstLine="0"/>
                </w:pPr>
                <w:fldSimple w:instr=" PAGE \* MERGEFORMAT ">
                  <w:r>
                    <w:rPr>
                      <w:rStyle w:val="CharStyle17"/>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535.15pt;margin-top:20.65pt;width:3.95pt;height:6.5pt;z-index:-188744063;mso-wrap-style:none;mso-wrap-distance-left:5.pt;mso-wrap-distance-right:5.pt;mso-position-horizontal-relative:page;mso-position-vertical-relative:page" wrapcoords="0 0" filled="f" stroked="f">
          <v:textbox style="mso-fit-shape-to-text:t" inset="0,0,0,0">
            <w:txbxContent>
              <w:p>
                <w:pPr>
                  <w:pStyle w:val="Style15"/>
                  <w:widowControl w:val="0"/>
                  <w:keepNext w:val="0"/>
                  <w:keepLines w:val="0"/>
                  <w:shd w:val="clear" w:color="auto" w:fill="auto"/>
                  <w:bidi w:val="0"/>
                  <w:jc w:val="left"/>
                  <w:spacing w:before="0" w:after="0" w:line="240" w:lineRule="auto"/>
                  <w:ind w:left="0" w:right="0" w:firstLine="0"/>
                </w:pPr>
                <w:fldSimple w:instr=" PAGE \* MERGEFORMAT ">
                  <w:r>
                    <w:rPr>
                      <w:rStyle w:val="CharStyle17"/>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535.15pt;margin-top:20.65pt;width:3.95pt;height:6.5pt;z-index:-188744062;mso-wrap-style:none;mso-wrap-distance-left:5.pt;mso-wrap-distance-right:5.pt;mso-position-horizontal-relative:page;mso-position-vertical-relative:page" wrapcoords="0 0" filled="f" stroked="f">
          <v:textbox style="mso-fit-shape-to-text:t" inset="0,0,0,0">
            <w:txbxContent>
              <w:p>
                <w:pPr>
                  <w:pStyle w:val="Style15"/>
                  <w:widowControl w:val="0"/>
                  <w:keepNext w:val="0"/>
                  <w:keepLines w:val="0"/>
                  <w:shd w:val="clear" w:color="auto" w:fill="auto"/>
                  <w:bidi w:val="0"/>
                  <w:jc w:val="left"/>
                  <w:spacing w:before="0" w:after="0" w:line="240" w:lineRule="auto"/>
                  <w:ind w:left="0" w:right="0" w:firstLine="0"/>
                </w:pPr>
                <w:fldSimple w:instr=" PAGE \* MERGEFORMAT ">
                  <w:r>
                    <w:rPr>
                      <w:rStyle w:val="CharStyle17"/>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28.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18.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02.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6">
    <w:name w:val="Основной текст (2)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8">
    <w:name w:val="Заголовок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Заголовок №2 + 10,5 pt"/>
    <w:basedOn w:val="CharStyle8"/>
    <w:rPr>
      <w:lang w:val="ru-RU" w:eastAsia="ru-RU" w:bidi="ru-RU"/>
      <w:sz w:val="21"/>
      <w:szCs w:val="21"/>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3)"/>
    <w:basedOn w:val="CharStyle11"/>
    <w:rPr>
      <w:lang w:val="en-US" w:eastAsia="en-US" w:bidi="en-US"/>
      <w:u w:val="single"/>
      <w:sz w:val="24"/>
      <w:szCs w:val="24"/>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_"/>
    <w:basedOn w:val="DefaultParagraphFont"/>
    <w:link w:val="Style15"/>
    <w:rPr>
      <w:b w:val="0"/>
      <w:bCs w:val="0"/>
      <w:i w:val="0"/>
      <w:iCs w:val="0"/>
      <w:u w:val="none"/>
      <w:strike w:val="0"/>
      <w:smallCaps w:val="0"/>
      <w:sz w:val="18"/>
      <w:szCs w:val="18"/>
      <w:rFonts w:ascii="Times New Roman" w:eastAsia="Times New Roman" w:hAnsi="Times New Roman" w:cs="Times New Roman"/>
    </w:rPr>
  </w:style>
  <w:style w:type="character" w:customStyle="1" w:styleId="CharStyle17">
    <w:name w:val="Колонтитул"/>
    <w:basedOn w:val="CharStyle16"/>
    <w:rPr>
      <w:lang w:val="ru-RU" w:eastAsia="ru-RU" w:bidi="ru-RU"/>
      <w:w w:val="100"/>
      <w:spacing w:val="0"/>
      <w:color w:val="000000"/>
      <w:position w:val="0"/>
    </w:rPr>
  </w:style>
  <w:style w:type="character" w:customStyle="1" w:styleId="CharStyle18">
    <w:name w:val="Основной текст"/>
    <w:basedOn w:val="CharStyle14"/>
    <w:rPr>
      <w:lang w:val="ru-RU" w:eastAsia="ru-RU" w:bidi="ru-RU"/>
      <w:u w:val="single"/>
      <w:w w:val="100"/>
      <w:spacing w:val="0"/>
      <w:color w:val="000000"/>
      <w:position w:val="0"/>
    </w:rPr>
  </w:style>
  <w:style w:type="character" w:customStyle="1" w:styleId="CharStyle19">
    <w:name w:val="Основной текст"/>
    <w:basedOn w:val="CharStyle14"/>
    <w:rPr>
      <w:lang w:val="ru-RU" w:eastAsia="ru-RU" w:bidi="ru-RU"/>
      <w:w w:val="100"/>
      <w:spacing w:val="0"/>
      <w:color w:val="000000"/>
      <w:position w:val="0"/>
    </w:rPr>
  </w:style>
  <w:style w:type="character" w:customStyle="1" w:styleId="CharStyle20">
    <w:name w:val="Основной текст + 4 pt"/>
    <w:basedOn w:val="CharStyle14"/>
    <w:rPr>
      <w:lang w:val="ru-RU" w:eastAsia="ru-RU" w:bidi="ru-RU"/>
      <w:sz w:val="8"/>
      <w:szCs w:val="8"/>
      <w:w w:val="100"/>
      <w:spacing w:val="0"/>
      <w:color w:val="000000"/>
      <w:position w:val="0"/>
    </w:rPr>
  </w:style>
  <w:style w:type="character" w:customStyle="1" w:styleId="CharStyle22">
    <w:name w:val="Заголовок №1_"/>
    <w:basedOn w:val="DefaultParagraphFont"/>
    <w:link w:val="Style21"/>
    <w:rPr>
      <w:b w:val="0"/>
      <w:bCs w:val="0"/>
      <w:i w:val="0"/>
      <w:iCs w:val="0"/>
      <w:u w:val="none"/>
      <w:strike w:val="0"/>
      <w:smallCaps w:val="0"/>
      <w:sz w:val="32"/>
      <w:szCs w:val="32"/>
      <w:rFonts w:ascii="Times New Roman" w:eastAsia="Times New Roman" w:hAnsi="Times New Roman" w:cs="Times New Roman"/>
    </w:rPr>
  </w:style>
  <w:style w:type="character" w:customStyle="1" w:styleId="CharStyle23">
    <w:name w:val="Основной текст + 9 pt"/>
    <w:basedOn w:val="CharStyle14"/>
    <w:rPr>
      <w:lang w:val="ru-RU" w:eastAsia="ru-RU" w:bidi="ru-RU"/>
      <w:sz w:val="18"/>
      <w:szCs w:val="18"/>
      <w:w w:val="100"/>
      <w:spacing w:val="0"/>
      <w:color w:val="000000"/>
      <w:position w:val="0"/>
    </w:rPr>
  </w:style>
  <w:style w:type="character" w:customStyle="1" w:styleId="CharStyle25">
    <w:name w:val="Основной текст (4)_"/>
    <w:basedOn w:val="DefaultParagraphFont"/>
    <w:link w:val="Style24"/>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both"/>
      <w:spacing w:line="547" w:lineRule="exact"/>
    </w:pPr>
    <w:rPr>
      <w:b w:val="0"/>
      <w:bCs w:val="0"/>
      <w:i w:val="0"/>
      <w:iCs w:val="0"/>
      <w:u w:val="none"/>
      <w:strike w:val="0"/>
      <w:smallCaps w:val="0"/>
      <w:sz w:val="21"/>
      <w:szCs w:val="21"/>
      <w:rFonts w:ascii="Times New Roman" w:eastAsia="Times New Roman" w:hAnsi="Times New Roman" w:cs="Times New Roman"/>
      <w:spacing w:val="6"/>
    </w:rPr>
  </w:style>
  <w:style w:type="paragraph" w:customStyle="1" w:styleId="Style5">
    <w:name w:val="Основной текст (2)"/>
    <w:basedOn w:val="Normal"/>
    <w:link w:val="CharStyle6"/>
    <w:pPr>
      <w:widowControl w:val="0"/>
      <w:shd w:val="clear" w:color="auto" w:fill="FFFFFF"/>
      <w:jc w:val="center"/>
      <w:spacing w:before="120" w:after="240" w:line="238" w:lineRule="exact"/>
    </w:pPr>
    <w:rPr>
      <w:b/>
      <w:bCs/>
      <w:i w:val="0"/>
      <w:iCs w:val="0"/>
      <w:u w:val="none"/>
      <w:strike w:val="0"/>
      <w:smallCaps w:val="0"/>
      <w:sz w:val="21"/>
      <w:szCs w:val="21"/>
      <w:rFonts w:ascii="Times New Roman" w:eastAsia="Times New Roman" w:hAnsi="Times New Roman" w:cs="Times New Roman"/>
    </w:rPr>
  </w:style>
  <w:style w:type="paragraph" w:customStyle="1" w:styleId="Style7">
    <w:name w:val="Заголовок №2"/>
    <w:basedOn w:val="Normal"/>
    <w:link w:val="CharStyle8"/>
    <w:pPr>
      <w:widowControl w:val="0"/>
      <w:shd w:val="clear" w:color="auto" w:fill="FFFFFF"/>
      <w:jc w:val="center"/>
      <w:outlineLvl w:val="1"/>
      <w:spacing w:before="240" w:after="240" w:line="299"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before="24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after="240" w:line="27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Колонтитул"/>
    <w:basedOn w:val="Normal"/>
    <w:link w:val="CharStyle16"/>
    <w:pPr>
      <w:widowControl w:val="0"/>
      <w:shd w:val="clear" w:color="auto" w:fill="FFFFFF"/>
      <w:jc w:val="right"/>
      <w:spacing w:line="263"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outlineLvl w:val="0"/>
      <w:spacing w:after="60" w:line="0" w:lineRule="exact"/>
    </w:pPr>
    <w:rPr>
      <w:b w:val="0"/>
      <w:bCs w:val="0"/>
      <w:i w:val="0"/>
      <w:iCs w:val="0"/>
      <w:u w:val="none"/>
      <w:strike w:val="0"/>
      <w:smallCaps w:val="0"/>
      <w:sz w:val="32"/>
      <w:szCs w:val="32"/>
      <w:rFonts w:ascii="Times New Roman" w:eastAsia="Times New Roman" w:hAnsi="Times New Roman" w:cs="Times New Roman"/>
    </w:rPr>
  </w:style>
  <w:style w:type="paragraph" w:customStyle="1" w:styleId="Style24">
    <w:name w:val="Основной текст (4)"/>
    <w:basedOn w:val="Normal"/>
    <w:link w:val="CharStyle25"/>
    <w:pPr>
      <w:widowControl w:val="0"/>
      <w:shd w:val="clear" w:color="auto" w:fill="FFFFFF"/>
      <w:spacing w:before="240" w:after="240" w:line="223" w:lineRule="exact"/>
      <w:ind w:firstLine="440"/>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header" Target="header2.xml"/><Relationship Id="rId11" Type="http://schemas.openxmlformats.org/officeDocument/2006/relationships/header" Target="header3.xml"/></Relationships>
</file>