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ne" w:vAnchor="text" w:hAnchor="margin" w:x="180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6"/>
        <w:framePr w:h="662" w:wrap="none" w:vAnchor="text" w:hAnchor="margin" w:x="1801"/>
        <w:widowControl w:val="0"/>
        <w:keepNext w:val="0"/>
        <w:keepLines w:val="0"/>
        <w:shd w:val="clear" w:color="auto" w:fill="auto"/>
        <w:bidi w:val="0"/>
        <w:jc w:val="left"/>
        <w:spacing w:before="0" w:after="0" w:line="110" w:lineRule="exact"/>
        <w:ind w:left="0" w:right="0" w:firstLine="0"/>
      </w:pPr>
      <w:r>
        <w:rPr>
          <w:rStyle w:val="CharStyle8"/>
          <w:spacing w:val="0"/>
        </w:rPr>
        <w:t>V</w:t>
      </w:r>
    </w:p>
    <w:p>
      <w:pPr>
        <w:pStyle w:val="Style9"/>
        <w:framePr w:w="4333" w:h="642" w:wrap="none" w:vAnchor="text" w:hAnchor="margin" w:x="5236" w:y="800"/>
        <w:widowControl w:val="0"/>
        <w:keepNext w:val="0"/>
        <w:keepLines w:val="0"/>
        <w:shd w:val="clear" w:color="auto" w:fill="auto"/>
        <w:bidi w:val="0"/>
        <w:spacing w:before="0" w:after="0"/>
        <w:ind w:left="100" w:right="100" w:firstLine="0"/>
      </w:pPr>
      <w:r>
        <w:rPr>
          <w:rStyle w:val="CharStyle10"/>
          <w:spacing w:val="0"/>
        </w:rPr>
        <w:t>Администрация городского округа Троицк</w:t>
      </w:r>
    </w:p>
    <w:p>
      <w:pPr>
        <w:pStyle w:val="Style11"/>
        <w:framePr w:w="3368" w:h="470" w:wrap="none" w:vAnchor="text" w:hAnchor="margin" w:x="422" w:y="850"/>
        <w:widowControl w:val="0"/>
        <w:keepNext w:val="0"/>
        <w:keepLines w:val="0"/>
        <w:shd w:val="clear" w:color="auto" w:fill="auto"/>
        <w:bidi w:val="0"/>
        <w:spacing w:before="0" w:after="0"/>
        <w:ind w:left="0" w:right="40" w:firstLine="0"/>
      </w:pPr>
      <w:r>
        <w:rPr>
          <w:rStyle w:val="CharStyle13"/>
          <w:b/>
          <w:bCs/>
          <w:spacing w:val="0"/>
        </w:rPr>
        <w:t>ФЕДЕРАЛЬНАЯ АНТИМОНОПОЛЬНАЯ СЛУЖБА</w:t>
      </w:r>
    </w:p>
    <w:p>
      <w:pPr>
        <w:pStyle w:val="Style11"/>
        <w:framePr w:w="1558" w:h="170" w:wrap="none" w:vAnchor="text" w:hAnchor="margin" w:x="1334" w:y="1564"/>
        <w:widowControl w:val="0"/>
        <w:keepNext w:val="0"/>
        <w:keepLines w:val="0"/>
        <w:shd w:val="clear" w:color="auto" w:fill="auto"/>
        <w:bidi w:val="0"/>
        <w:jc w:val="left"/>
        <w:spacing w:before="0" w:after="0" w:line="170" w:lineRule="exact"/>
        <w:ind w:left="100" w:right="0" w:firstLine="0"/>
      </w:pPr>
      <w:r>
        <w:rPr>
          <w:rStyle w:val="CharStyle13"/>
          <w:b/>
          <w:bCs/>
          <w:spacing w:val="0"/>
        </w:rPr>
        <w:t>УПРАВЛЕ</w:t>
      </w:r>
      <w:r>
        <w:rPr>
          <w:rStyle w:val="CharStyle14"/>
          <w:b/>
          <w:bCs/>
          <w:spacing w:val="0"/>
        </w:rPr>
        <w:t>НИЕ</w:t>
      </w:r>
    </w:p>
    <w:p>
      <w:pPr>
        <w:pStyle w:val="Style9"/>
        <w:framePr w:w="3867" w:h="638" w:wrap="none" w:vAnchor="text" w:hAnchor="margin" w:x="5227" w:y="1721"/>
        <w:widowControl w:val="0"/>
        <w:keepNext w:val="0"/>
        <w:keepLines w:val="0"/>
        <w:shd w:val="clear" w:color="auto" w:fill="auto"/>
        <w:bidi w:val="0"/>
        <w:spacing w:before="0" w:after="0" w:line="317" w:lineRule="exact"/>
        <w:ind w:left="100" w:right="100" w:firstLine="0"/>
      </w:pPr>
      <w:r>
        <w:rPr>
          <w:rStyle w:val="CharStyle10"/>
          <w:spacing w:val="0"/>
        </w:rPr>
        <w:t>ул. Юбилейная, д. 3, г. Троицк, г. Москва, 108840</w:t>
      </w:r>
    </w:p>
    <w:p>
      <w:pPr>
        <w:pStyle w:val="Style11"/>
        <w:framePr w:w="1285" w:h="170" w:wrap="none" w:vAnchor="text" w:hAnchor="margin" w:x="1473" w:y="2030"/>
        <w:widowControl w:val="0"/>
        <w:keepNext w:val="0"/>
        <w:keepLines w:val="0"/>
        <w:shd w:val="clear" w:color="auto" w:fill="auto"/>
        <w:bidi w:val="0"/>
        <w:jc w:val="left"/>
        <w:spacing w:before="0" w:after="0" w:line="170" w:lineRule="exact"/>
        <w:ind w:left="100" w:right="0" w:firstLine="0"/>
      </w:pPr>
      <w:r>
        <w:rPr>
          <w:rStyle w:val="CharStyle13"/>
          <w:b/>
          <w:bCs/>
          <w:spacing w:val="0"/>
        </w:rPr>
        <w:t>по г. Москве</w:t>
      </w:r>
    </w:p>
    <w:p>
      <w:pPr>
        <w:pStyle w:val="Style15"/>
        <w:framePr w:w="3910" w:h="883" w:wrap="none" w:vAnchor="text" w:hAnchor="margin" w:x="153" w:y="2397"/>
        <w:widowControl w:val="0"/>
        <w:keepNext w:val="0"/>
        <w:keepLines w:val="0"/>
        <w:shd w:val="clear" w:color="auto" w:fill="auto"/>
        <w:bidi w:val="0"/>
        <w:spacing w:before="0" w:after="0"/>
        <w:ind w:left="20" w:right="0" w:firstLine="0"/>
      </w:pPr>
      <w:r>
        <w:rPr>
          <w:rStyle w:val="CharStyle17"/>
          <w:spacing w:val="0"/>
        </w:rPr>
        <w:t xml:space="preserve">Мясницкий проезд, д.4, стр. 1 107078, г. Москва, тел. (495) 784-75-05, факс (495) 607-49-29 факс (495) 607-42-92, </w:t>
      </w:r>
      <w:r>
        <w:rPr>
          <w:rStyle w:val="CharStyle18"/>
          <w:spacing w:val="0"/>
        </w:rPr>
        <w:t>e-mail: to77@,fas.gov.ru</w:t>
      </w:r>
    </w:p>
    <w:p>
      <w:pPr>
        <w:pStyle w:val="Style9"/>
        <w:framePr w:w="2067" w:h="250" w:wrap="none" w:vAnchor="text" w:hAnchor="margin" w:x="5236" w:y="2747"/>
        <w:widowControl w:val="0"/>
        <w:keepNext w:val="0"/>
        <w:keepLines w:val="0"/>
        <w:shd w:val="clear" w:color="auto" w:fill="auto"/>
        <w:bidi w:val="0"/>
        <w:jc w:val="left"/>
        <w:spacing w:before="0" w:after="0" w:line="240" w:lineRule="exact"/>
        <w:ind w:left="100" w:right="0" w:firstLine="0"/>
      </w:pPr>
      <w:r>
        <w:rPr>
          <w:rStyle w:val="CharStyle10"/>
          <w:spacing w:val="0"/>
        </w:rPr>
        <w:t>ООО «Д-Марк»</w:t>
      </w:r>
    </w:p>
    <w:p>
      <w:pPr>
        <w:pStyle w:val="Style9"/>
        <w:framePr w:w="4194" w:h="638" w:wrap="none" w:vAnchor="text" w:hAnchor="margin" w:x="5227" w:y="3335"/>
        <w:widowControl w:val="0"/>
        <w:keepNext w:val="0"/>
        <w:keepLines w:val="0"/>
        <w:shd w:val="clear" w:color="auto" w:fill="auto"/>
        <w:bidi w:val="0"/>
        <w:spacing w:before="0" w:after="0"/>
        <w:ind w:left="100" w:right="100" w:firstLine="0"/>
      </w:pPr>
      <w:r>
        <w:rPr>
          <w:rStyle w:val="CharStyle10"/>
          <w:spacing w:val="0"/>
        </w:rPr>
        <w:t>ул. Мельникайте, д. 138а, кв. 312, г. Тюмень, 625062</w:t>
      </w:r>
    </w:p>
    <w:p>
      <w:pPr>
        <w:pStyle w:val="Style19"/>
        <w:framePr w:w="387" w:h="170" w:wrap="none" w:vAnchor="text" w:hAnchor="margin" w:x="1934" w:y="3605"/>
        <w:widowControl w:val="0"/>
        <w:keepNext w:val="0"/>
        <w:keepLines w:val="0"/>
        <w:shd w:val="clear" w:color="auto" w:fill="auto"/>
        <w:bidi w:val="0"/>
        <w:jc w:val="left"/>
        <w:spacing w:before="0" w:after="0" w:line="170" w:lineRule="exact"/>
        <w:ind w:left="100" w:right="0" w:firstLine="0"/>
      </w:pPr>
      <w:r>
        <w:rPr>
          <w:rStyle w:val="CharStyle21"/>
        </w:rPr>
        <w:t>№</w:t>
      </w:r>
    </w:p>
    <w:p>
      <w:pPr>
        <w:pStyle w:val="Style22"/>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24"/>
          <w:spacing w:val="20"/>
        </w:rPr>
        <w:t>На№</w:t>
      </w:r>
    </w:p>
    <w:p>
      <w:pPr>
        <w:pStyle w:val="Style25"/>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7"/>
          <w:spacing w:val="0"/>
        </w:rPr>
        <w:t>ОТ</w:t>
      </w:r>
    </w:p>
    <w:p>
      <w:pPr>
        <w:pStyle w:val="Style28"/>
        <w:framePr w:w="469" w:h="420" w:wrap="none" w:vAnchor="text" w:hAnchor="margin" w:x="-53" w:y="4676"/>
        <w:widowControl w:val="0"/>
        <w:keepNext w:val="0"/>
        <w:keepLines w:val="0"/>
        <w:shd w:val="clear" w:color="auto" w:fill="auto"/>
        <w:bidi w:val="0"/>
        <w:jc w:val="left"/>
        <w:spacing w:before="0" w:after="0" w:line="420" w:lineRule="exact"/>
        <w:ind w:left="100" w:right="0" w:firstLine="0"/>
      </w:pPr>
      <w:r>
        <w:rPr>
          <w:rStyle w:val="CharStyle30"/>
          <w:b/>
          <w:bCs/>
        </w:rPr>
        <w:t>Г</w:t>
      </w:r>
    </w:p>
    <w:p>
      <w:pPr>
        <w:pStyle w:val="Style31"/>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33"/>
        </w:rPr>
        <w:t>П</w:t>
      </w:r>
    </w:p>
    <w:p>
      <w:pPr>
        <w:pStyle w:val="Style34"/>
        <w:framePr w:w="5883" w:h="969" w:wrap="none" w:vAnchor="text" w:hAnchor="margin" w:x="2371" w:y="5489"/>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№077/06/106-11536/2022 о нарушении законодательства о контрактной системе</w:t>
      </w:r>
    </w:p>
    <w:p>
      <w:pPr>
        <w:pStyle w:val="Style34"/>
        <w:framePr w:w="1438" w:h="240" w:wrap="none" w:vAnchor="text" w:hAnchor="margin" w:x="-63" w:y="6519"/>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03.08.2022</w:t>
      </w:r>
    </w:p>
    <w:p>
      <w:pPr>
        <w:pStyle w:val="Style34"/>
        <w:framePr w:w="1405" w:h="240" w:wrap="none" w:vAnchor="text" w:hAnchor="margin" w:x="8889" w:y="6524"/>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framePr w:w="10405" w:h="8048" w:wrap="none" w:vAnchor="text" w:hAnchor="margin" w:x="-73" w:y="6776"/>
        <w:tabs>
          <w:tab w:leader="none" w:pos="4121" w:val="left"/>
        </w:tabs>
        <w:widowControl w:val="0"/>
        <w:keepNext w:val="0"/>
        <w:keepLines w:val="0"/>
        <w:shd w:val="clear" w:color="auto" w:fill="auto"/>
        <w:bidi w:val="0"/>
        <w:spacing w:before="0" w:after="0"/>
        <w:ind w:left="100" w:right="0" w:firstLine="680"/>
      </w:pPr>
      <w:r>
        <w:rPr>
          <w:rStyle w:val="CharStyle10"/>
          <w:spacing w:val="0"/>
        </w:rPr>
        <w:t>Председательствующего:</w:t>
        <w:tab/>
        <w:t>заместителя начальника отдела обжалования</w:t>
      </w:r>
    </w:p>
    <w:p>
      <w:pPr>
        <w:pStyle w:val="Style9"/>
        <w:framePr w:w="10405" w:h="8048" w:wrap="none" w:vAnchor="text" w:hAnchor="margin" w:x="-73" w:y="6776"/>
        <w:widowControl w:val="0"/>
        <w:keepNext w:val="0"/>
        <w:keepLines w:val="0"/>
        <w:shd w:val="clear" w:color="auto" w:fill="auto"/>
        <w:bidi w:val="0"/>
        <w:jc w:val="left"/>
        <w:spacing w:before="0" w:after="0"/>
        <w:ind w:left="100" w:right="0" w:firstLine="0"/>
      </w:pPr>
      <w:r>
        <w:rPr>
          <w:rStyle w:val="CharStyle10"/>
          <w:spacing w:val="0"/>
        </w:rPr>
        <w:t>государственных закупок К.А. Сомова,</w:t>
      </w:r>
    </w:p>
    <w:p>
      <w:pPr>
        <w:pStyle w:val="Style9"/>
        <w:framePr w:w="10405" w:h="8048" w:wrap="none" w:vAnchor="text" w:hAnchor="margin" w:x="-73" w:y="6776"/>
        <w:widowControl w:val="0"/>
        <w:keepNext w:val="0"/>
        <w:keepLines w:val="0"/>
        <w:shd w:val="clear" w:color="auto" w:fill="auto"/>
        <w:bidi w:val="0"/>
        <w:spacing w:before="0" w:after="0"/>
        <w:ind w:left="100" w:right="0" w:firstLine="680"/>
      </w:pPr>
      <w:r>
        <w:rPr>
          <w:rStyle w:val="CharStyle10"/>
          <w:spacing w:val="0"/>
        </w:rPr>
        <w:t>Членов комиссии:</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Ведущего специалиста-эксперта отдела обжалования государственных закупок Н.С. Лушниковой,</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Ведущего специалиста-эксперта отдела обжалования государственных закупок А.А. Матюшенко,</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rStyle w:val="CharStyle10"/>
          <w:lang w:val="en-US" w:eastAsia="en-US" w:bidi="en-US"/>
          <w:spacing w:val="0"/>
        </w:rPr>
        <w:t>2019-nCoV.,</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при участии представителей: ООО «Д-Марк»: Вторушина Н.А. (дов.№3 от 01.08.2022), Администрация городского округа Троицк: Бобова Г.И. (дов.№03-40- 121 от 02.08.2022), Крячкова А.С. (дов.№03-40-120 от 02.08.2022), Кутуковой Л.Н. (дов.№03-40-119 от 02.08.2022),</w:t>
      </w:r>
    </w:p>
    <w:p>
      <w:pPr>
        <w:pStyle w:val="Style9"/>
        <w:framePr w:w="10405" w:h="8048" w:wrap="none" w:vAnchor="text" w:hAnchor="margin" w:x="-73" w:y="6776"/>
        <w:widowControl w:val="0"/>
        <w:keepNext w:val="0"/>
        <w:keepLines w:val="0"/>
        <w:shd w:val="clear" w:color="auto" w:fill="auto"/>
        <w:bidi w:val="0"/>
        <w:spacing w:before="0" w:after="0"/>
        <w:ind w:left="100" w:right="120" w:firstLine="680"/>
      </w:pPr>
      <w:r>
        <w:rPr>
          <w:rStyle w:val="CharStyle10"/>
          <w:spacing w:val="0"/>
        </w:rPr>
        <w:t>рассмотрев жалобу ООО «Д-Марк» (далее — Заявитель) на действия Администрации городского округа Троицк (далее — Заказчик) при проведении открытого конкурса в электронной форме на право заключения государственного контракта на оказание услуг по осуществлению функций технического заказчика и строительного контроля на период выполнения подрядных работ по объекту рекреационно-спортивного комплекса муниципального автономного учреждения</w:t>
      </w:r>
    </w:p>
    <w:p>
      <w:pPr>
        <w:pStyle w:val="Style36"/>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000966833876</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404" w:left="825" w:right="825" w:bottom="662" w:header="0" w:footer="3" w:gutter="0"/>
          <w:rtlGutter w:val="0"/>
          <w:cols w:space="720"/>
          <w:noEndnote/>
          <w:docGrid w:linePitch="360"/>
        </w:sectPr>
      </w:pPr>
    </w:p>
    <w:p>
      <w:pPr>
        <w:pStyle w:val="Style9"/>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физической культуры и спорта «Городская спортивно-оздоровительная база «Лесная»» - здание лыжной базы» (Закупка № 0148300006822000049)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9"/>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№ЕИ/39853/22 от 01.08.2022.</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составе жалобы Заявитель указывает на установление Заказчиком неправомерного порядка оценки заявок участников закупки по критерию «характеристика объекта закупки».</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9"/>
        <w:numPr>
          <w:ilvl w:val="0"/>
          <w:numId w:val="1"/>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9"/>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9"/>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9"/>
        <w:numPr>
          <w:ilvl w:val="0"/>
          <w:numId w:val="1"/>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9"/>
        <w:widowControl w:val="0"/>
        <w:keepNext w:val="0"/>
        <w:keepLines w:val="0"/>
        <w:shd w:val="clear" w:color="auto" w:fill="auto"/>
        <w:bidi w:val="0"/>
        <w:spacing w:before="0" w:after="0"/>
        <w:ind w:left="20" w:right="20" w:firstLine="680"/>
        <w:sectPr>
          <w:pgSz w:w="11909" w:h="16838"/>
          <w:pgMar w:top="1264" w:left="849" w:right="849" w:bottom="1134" w:header="0" w:footer="3" w:gutter="0"/>
          <w:rtlGutter w:val="0"/>
          <w:cols w:space="720"/>
          <w:noEndnote/>
          <w:docGrid w:linePitch="360"/>
        </w:sectPr>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п.16 Положения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Style9"/>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а) качественные характеристики объекта закупки;</w:t>
      </w:r>
    </w:p>
    <w:p>
      <w:pPr>
        <w:pStyle w:val="Style9"/>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б) функциональные характеристики объекта закупки;</w:t>
      </w:r>
    </w:p>
    <w:p>
      <w:pPr>
        <w:pStyle w:val="Style9"/>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в) экологические характеристики объекта закупки.</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п.17 Положения для оценки заявок по показателям оценки, предусмотренным п.16 Положения, применяются детализирующие показатели, предусматривающие оценку различных характеристик, образующих такие показатели оценки.</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 по показателю «качественные характеристики объекта закупки» критерия «характеристика объекта закупки»:</w:t>
      </w:r>
    </w:p>
    <w:p>
      <w:pPr>
        <w:pStyle w:val="Style41"/>
        <w:widowControl w:val="0"/>
        <w:keepNext w:val="0"/>
        <w:keepLines w:val="0"/>
        <w:shd w:val="clear" w:color="auto" w:fill="auto"/>
        <w:bidi w:val="0"/>
        <w:spacing w:before="0" w:after="0"/>
        <w:ind w:left="20" w:right="20"/>
      </w:pPr>
      <w:r>
        <w:rPr>
          <w:rStyle w:val="CharStyle43"/>
          <w:i w:val="0"/>
          <w:iCs w:val="0"/>
        </w:rPr>
        <w:t xml:space="preserve">По детализирующему показателю </w:t>
      </w:r>
      <w:r>
        <w:rPr>
          <w:lang w:val="ru-RU" w:eastAsia="ru-RU" w:bidi="ru-RU"/>
          <w:w w:val="100"/>
          <w:spacing w:val="0"/>
          <w:color w:val="000000"/>
          <w:position w:val="0"/>
        </w:rPr>
        <w:t>«Характеристика 1: Предложение по контролю соответствия выполняемых строительно-монтажных работ,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 (В соответствии с Видами работ по строительству Объекта (приложение № 1 к Критериям оценки) и техническим заданием)»:</w:t>
      </w:r>
    </w:p>
    <w:p>
      <w:pPr>
        <w:pStyle w:val="Style9"/>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«Предложению по «Характеристике 1» присваиваются баллы в случае, если</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оно соответствует следующим требованиям:</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Если предложение не представлено, представлено не по всем видам работ, содержание не соответствует виду работ (услуг), представлено без учета специфики объекта закупки указаны недействующие нормативные документы либо представлено скопированное техническое задание - 0 баллов;</w:t>
      </w:r>
    </w:p>
    <w:p>
      <w:pPr>
        <w:pStyle w:val="Style9"/>
        <w:numPr>
          <w:ilvl w:val="0"/>
          <w:numId w:val="3"/>
        </w:numPr>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 xml:space="preserve"> Предложение представлено по всему составу работ - 15 баллов;</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Предложение содержит сведения о способах (методике) его выполнения по всему составу работ - 20 баллов;</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Предложение содержит действующие нормативные документы, современные практики, стандарты, использующиеся в предметной области - 5 баллов.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Предложение по показателю — описательная часть, представленная участником по каждому виду работ/услуг, содержащая информацию в соответствии с показателем, соответствующую виду работ/услуг.</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*Специфика объекта закупки — это совокупность характерных особенностей осуществления строительного процесса на конкретном объекте в зависимости от его места расположения, категории опасности, режима функционирования. При этом необходимо учитывать экологическую, правовую, эстетическую и другие составляющие техногенного воздействия строительства конкретного объекта на интегральные показатели качества среды обитания, обусловливающие, в том числе, необходимость использования специальной техники, применения нетрадиционных материалов и технологий, а также привлечения дополнительных специализированных кадровых ресурсов».</w:t>
      </w:r>
    </w:p>
    <w:p>
      <w:pPr>
        <w:pStyle w:val="Style41"/>
        <w:widowControl w:val="0"/>
        <w:keepNext w:val="0"/>
        <w:keepLines w:val="0"/>
        <w:shd w:val="clear" w:color="auto" w:fill="auto"/>
        <w:bidi w:val="0"/>
        <w:spacing w:before="0" w:after="0"/>
        <w:ind w:left="20" w:right="20"/>
      </w:pPr>
      <w:r>
        <w:rPr>
          <w:lang w:val="ru-RU" w:eastAsia="ru-RU" w:bidi="ru-RU"/>
          <w:w w:val="100"/>
          <w:spacing w:val="0"/>
          <w:color w:val="000000"/>
          <w:position w:val="0"/>
        </w:rPr>
        <w:t>По детализирующему показателю «Характеристика 2: Предложения о методах(способах) оказания услуг технического заказчика по строительству объекта закупки (В соответствии с техническим заданием и расчетом начальной максимальной цены контракта)»:</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«Предложению по «Характеристике 2» присваиваются баллы в случае, если оно соответствует следующим требованиям:</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Если предложение не представлено, представлено не по всем видам работ, указанным в Техническом задании, расчете начальной максимальной цены контракта/ не соответствует Техническому заданию, расчету начальной максимальной цены контракта, представлено не в соответствии с проектно-сметной документацией, не соответствует виду работ, указанному в техническом задании, представлено без учета специфики объекта закупки*, указаны недействующие нормативные документы либо представлено скопированное техническое задание - 0 баллов.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а) Предложение представлено по оказанию услуг по всем видам работ, предусмотренным в Техническом задании и расчете начальной максимальной цены контракта с указанием ссылок на действующие нормативно-правовые акты с учетом специфики объекта закупки* - 10 баллов;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б) Предложение содержит сведения о приёмах/способах/методах оказания услуг по всем видам работ, предусмотренных в Техническом задании и расчете начальной максимальной цены контракта, а также порядок получения всех справок (актов) о выполнении Технических условий, необходимых для ввода объекта в</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эксплуатацию, в соответствии с проектно-сметной документацией - 20 баллов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Предложение по показателю — описательная часть, представленная участником по каждому виду работ/услуг, содержащая информацию в соответствии с показателем, соответствующую виду работ/услуг.</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*Специфика объекта закупки — это совокупность характерных особенностей осуществления строительного процесса на конкретном объекте в зависимости от его места расположения, категории опасности, режима функционирования. При этом необходимо учитывать экологическую, правовую, эстетическую и другие составляющие техногенного воздействия строительства конкретного объекта на интегральные показатели качества среды обитания, обусловливающие, в том числе, необходимость использования специальной техники, применения нетрадиционных материалов и технологий, а также привлечения дополнительных специализированных кадровых ресурсов»</w:t>
      </w:r>
      <w:r>
        <w:rPr>
          <w:rStyle w:val="CharStyle44"/>
        </w:rPr>
        <w:t>.</w:t>
      </w:r>
    </w:p>
    <w:p>
      <w:pPr>
        <w:pStyle w:val="Style41"/>
        <w:widowControl w:val="0"/>
        <w:keepNext w:val="0"/>
        <w:keepLines w:val="0"/>
        <w:shd w:val="clear" w:color="auto" w:fill="auto"/>
        <w:bidi w:val="0"/>
        <w:spacing w:before="0" w:after="0"/>
        <w:ind w:left="20" w:right="20"/>
      </w:pPr>
      <w:r>
        <w:rPr>
          <w:lang w:val="ru-RU" w:eastAsia="ru-RU" w:bidi="ru-RU"/>
          <w:w w:val="100"/>
          <w:spacing w:val="0"/>
          <w:color w:val="000000"/>
          <w:position w:val="0"/>
        </w:rPr>
        <w:t>По детализирующему показателю «Характеристика 3: Предложение по контролю за охраной труда и техникой безопасности при осуществлении строительно-монтажных работ (В соответствии с Видами работ по строительству Объекта (приложение № 1 к Критериям оценки))»:</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«Предложению по «Характеристике 3» присваиваются баллы в случае, если оно соответствует следующим требованиям:</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Если предложение не представлено, представлено не по всем видам работ, содержание не соответствует виду работ (услуг), представлено без учета специфики объекта закупки*, указаны недействующие нормативные документы либо представлено скопированное техническое задание - 0 баллов;</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предложение представлено по всем видам строительно-монтажных работ - 10 баллов;</w:t>
      </w:r>
    </w:p>
    <w:p>
      <w:pPr>
        <w:pStyle w:val="Style9"/>
        <w:numPr>
          <w:ilvl w:val="0"/>
          <w:numId w:val="3"/>
        </w:numPr>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 предложение содержит сведения о способах (Методах) обеспечения охраны труда и техники безопасности при производстве всех видов строительно</w:t>
        <w:softHyphen/>
        <w:t>монтажных работ, предусмотренных в Видами работ по строительству Объекта - 20 баллов.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Предложение по показателю — описательная часть, представленная участником по каждому виду работ/услуг, содержащая информацию в соответствии с показателем, соответствующую виду работ/услуг.</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*Специфика объекта закупки — это совокупность характерных особенностей осуществления строительного процесса на конкретном объекте в зависимости от его места расположения, категории опасности, режима функционирования. При этом необходимо учитывать экологическую, правовую, эстетическую и другие составляющие техногенного воздействия строительства конкретного объекта на интегральные показатели качества среды обитания, обусловливающие, в том числе, необходимость использования специальной техники, применения нетрадиционных материалов и технологий, а также привлечения дополнительных специализированных кадровых ресурсов».</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составе жалобы Заявитель указывает, что установленный Заказчиком порядок оценки по обжалуемому критерию является субъективным, кроме того, Заказчиком не конкретизированы детализирующие показатели оценки и необходимые к представлению сведения, подтверждающей соответствие</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предложения участника требованиям критерия «характеристика объекта закупки».</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Также Заявитель пояснил, что в адрес Заказчика был направлен запрос о разъяснении положений утвержденного порядка оценки конкурсных заявок.</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установленный порядок оценки, в частности обжалуемые детализирующие показатели, указывают на необходимость участников закупки представить предложения по контролю соответствия выполняемых строительно-монтажных работ,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 также о методах(способах) оказания услуг технического заказчика по строительству объекта закупки и, в том числе, предложение по контролю за охраной труда и техникой безопасности при осуществлении строительно-монтажных работ, что позволит Заказчику на этапе осуществления определения поставщика определить, что участники закупки, представившие сведения по обжалуемомму критерию, имеют представление и понимание о необходимых к выполнению работах.</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Комиссия Управления также отмечает, что в порядке оценка по каждому детализирующему показателю присутствуют указание на то, что предложение участника закупки (для детпоказателей №1, 2) предоставляется в соответствии с видами работ, которые Заказчиком выделены в отдельное размещенное в составе документов приложение №1 к Критериям оценки. При этом предложения по детпоказателю №2 о методах(способах) оказания услуг технического заказчика по строительству объекта закупки дается в соответствии с техническим заданием и расчетом начальной максимальной цены контракта.</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Так например, в отношении вида работ «Архитектурные решения. Перегородки и стены» участнику закупки необходимо представить предложение по контролю соответствия работ по строительству перегородок и стен на предмет соответствия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 а также представить предложение по контролю за охраной труда и техникой безопасности при осуществлении таких видов работ.</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Исходя из вышеизложенного, Комиссия Управления приходит к выводу, что обжалуемые положения порядка оценки позволяют однозначным образом определить какие именно сведения необходимо представить участнику закупки в составе заявки на участие в закупке для получения максимального количество баллов по установленному критерию.</w:t>
      </w:r>
    </w:p>
    <w:p>
      <w:pPr>
        <w:pStyle w:val="Style9"/>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Кроме того,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а также на заседании Комиссии</w:t>
      </w:r>
    </w:p>
    <w:p>
      <w:pPr>
        <w:pStyle w:val="Style9"/>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Управления представителем Заявителя не представлено документов и сведений, указывающий на неправомерность установленного порядка оценки, невозможность участников закупки определить перечень сведений, необходимых к представлению по детализирующим показателям в составе заявки на участие в закупке, а также не представлено документов и сведений свидетельствующих о нарушении Заказчиком норм Закона о контрактной системе, при установления обжалуемых положений, ввиду чего у Комиссии Управления отсутствуют правовые основания для признания Заказчика нарушившим положения Закона о контрактной системе.</w:t>
      </w:r>
    </w:p>
    <w:p>
      <w:pPr>
        <w:pStyle w:val="Style9"/>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При этом согласно протоколу рассмотрения и оценки первых частей заявок на участие в открытом конкурсе в электронной форме от 02.08.2022 №ПРО11 на участие в закупке подано 6 заявок.</w:t>
      </w:r>
    </w:p>
    <w:p>
      <w:pPr>
        <w:pStyle w:val="Style9"/>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9"/>
        <w:widowControl w:val="0"/>
        <w:keepNext w:val="0"/>
        <w:keepLines w:val="0"/>
        <w:shd w:val="clear" w:color="auto" w:fill="auto"/>
        <w:bidi w:val="0"/>
        <w:spacing w:before="0" w:after="349"/>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9"/>
        <w:widowControl w:val="0"/>
        <w:keepNext/>
        <w:keepLines/>
        <w:shd w:val="clear" w:color="auto" w:fill="auto"/>
        <w:bidi w:val="0"/>
        <w:jc w:val="left"/>
        <w:spacing w:before="0" w:after="303"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9"/>
        <w:numPr>
          <w:ilvl w:val="0"/>
          <w:numId w:val="5"/>
        </w:numPr>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 xml:space="preserve"> Признать жалобу ООО «Д-Марк» на действия Администрации городского округа Троицк необоснованной.</w:t>
      </w:r>
    </w:p>
    <w:p>
      <w:pPr>
        <w:pStyle w:val="Style9"/>
        <w:numPr>
          <w:ilvl w:val="0"/>
          <w:numId w:val="5"/>
        </w:numPr>
        <w:widowControl w:val="0"/>
        <w:keepNext w:val="0"/>
        <w:keepLines w:val="0"/>
        <w:shd w:val="clear" w:color="auto" w:fill="auto"/>
        <w:bidi w:val="0"/>
        <w:spacing w:before="0" w:after="300"/>
        <w:ind w:left="0" w:right="20" w:firstLine="68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№ЕИ/39853/22 от 01.08.2022.</w:t>
      </w:r>
    </w:p>
    <w:p>
      <w:pPr>
        <w:pStyle w:val="Style9"/>
        <w:widowControl w:val="0"/>
        <w:keepNext w:val="0"/>
        <w:keepLines w:val="0"/>
        <w:shd w:val="clear" w:color="auto" w:fill="auto"/>
        <w:bidi w:val="0"/>
        <w:spacing w:before="0" w:after="47"/>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tabs>
          <w:tab w:leader="none" w:pos="8717" w:val="lef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Председательствующий</w:t>
        <w:tab/>
        <w:t>К.А. Сомов</w:t>
      </w:r>
    </w:p>
    <w:p>
      <w:pPr>
        <w:pStyle w:val="Style9"/>
        <w:tabs>
          <w:tab w:leader="none" w:pos="8611" w:val="right"/>
          <w:tab w:leader="none" w:pos="10099"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Н.С.</w:t>
        <w:tab/>
        <w:t>Лушникова</w:t>
      </w:r>
    </w:p>
    <w:p>
      <w:pPr>
        <w:pStyle w:val="Style9"/>
        <w:widowControl w:val="0"/>
        <w:keepNext w:val="0"/>
        <w:keepLines w:val="0"/>
        <w:shd w:val="clear" w:color="auto" w:fill="auto"/>
        <w:bidi w:val="0"/>
        <w:jc w:val="right"/>
        <w:spacing w:before="0" w:after="1199" w:line="638" w:lineRule="exact"/>
        <w:ind w:left="0" w:right="140" w:firstLine="0"/>
      </w:pPr>
      <w:r>
        <w:rPr>
          <w:lang w:val="ru-RU" w:eastAsia="ru-RU" w:bidi="ru-RU"/>
          <w:w w:val="100"/>
          <w:spacing w:val="0"/>
          <w:color w:val="000000"/>
          <w:position w:val="0"/>
        </w:rPr>
        <w:t>А.А. Матюшенко</w:t>
      </w:r>
    </w:p>
    <w:p>
      <w:pPr>
        <w:pStyle w:val="Style45"/>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Исп. Матюшенко А.А., 8(495) 784-75-05</w:t>
      </w:r>
    </w:p>
    <w:sectPr>
      <w:type w:val="continuous"/>
      <w:pgSz w:w="11909" w:h="16838"/>
      <w:pgMar w:top="1264" w:left="853" w:right="845" w:bottom="113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15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2022-44469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12.5pt;width:57.1pt;height:7.9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rPr>
                  <w:t>2022-44469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5pt;margin-top:38.25pt;width:5.3pt;height:7.9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Колонтитул"/>
    <w:basedOn w:val="CharStyle4"/>
    <w:rPr>
      <w:lang w:val="ru-RU" w:eastAsia="ru-RU" w:bidi="ru-RU"/>
      <w:w w:val="100"/>
      <w:spacing w:val="0"/>
      <w:color w:val="000000"/>
      <w:position w:val="0"/>
    </w:rPr>
  </w:style>
  <w:style w:type="character" w:customStyle="1" w:styleId="CharStyle7">
    <w:name w:val="Подпись к картинке Exact"/>
    <w:basedOn w:val="DefaultParagraphFont"/>
    <w:link w:val="Style6"/>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8">
    <w:name w:val="Подпись к картинке Exact"/>
    <w:basedOn w:val="CharStyle7"/>
    <w:rPr>
      <w:lang w:val="ru-RU" w:eastAsia="ru-RU" w:bidi="ru-RU"/>
      <w:color w:val="000000"/>
      <w:position w:val="0"/>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2">
    <w:name w:val="Основной текст (2) Exact"/>
    <w:basedOn w:val="DefaultParagraphFont"/>
    <w:link w:val="Style11"/>
    <w:rPr>
      <w:b/>
      <w:bCs/>
      <w:i w:val="0"/>
      <w:iCs w:val="0"/>
      <w:u w:val="none"/>
      <w:strike w:val="0"/>
      <w:smallCaps w:val="0"/>
      <w:sz w:val="17"/>
      <w:szCs w:val="17"/>
      <w:rFonts w:ascii="Times New Roman" w:eastAsia="Times New Roman" w:hAnsi="Times New Roman" w:cs="Times New Roman"/>
      <w:spacing w:val="2"/>
    </w:rPr>
  </w:style>
  <w:style w:type="character" w:customStyle="1" w:styleId="CharStyle13">
    <w:name w:val="Основной текст (2) Exact"/>
    <w:basedOn w:val="CharStyle12"/>
    <w:rPr>
      <w:lang w:val="ru-RU" w:eastAsia="ru-RU" w:bidi="ru-RU"/>
      <w:w w:val="100"/>
      <w:color w:val="000000"/>
      <w:position w:val="0"/>
    </w:rPr>
  </w:style>
  <w:style w:type="character" w:customStyle="1" w:styleId="CharStyle14">
    <w:name w:val="Основной текст (2) Exact"/>
    <w:basedOn w:val="CharStyle12"/>
    <w:rPr>
      <w:lang w:val="ru-RU" w:eastAsia="ru-RU" w:bidi="ru-RU"/>
      <w:u w:val="single"/>
      <w:w w:val="100"/>
      <w:color w:val="000000"/>
      <w:position w:val="0"/>
    </w:rPr>
  </w:style>
  <w:style w:type="character" w:customStyle="1" w:styleId="CharStyle16">
    <w:name w:val="Основной текст (3) Exact"/>
    <w:basedOn w:val="DefaultParagraphFont"/>
    <w:link w:val="Style15"/>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7">
    <w:name w:val="Основной текст (3) Exact"/>
    <w:basedOn w:val="CharStyle16"/>
    <w:rPr>
      <w:lang w:val="ru-RU" w:eastAsia="ru-RU" w:bidi="ru-RU"/>
      <w:w w:val="100"/>
      <w:color w:val="000000"/>
      <w:position w:val="0"/>
    </w:rPr>
  </w:style>
  <w:style w:type="character" w:customStyle="1" w:styleId="CharStyle18">
    <w:name w:val="Основной текст (3) Exact"/>
    <w:basedOn w:val="CharStyle16"/>
    <w:rPr>
      <w:lang w:val="en-US" w:eastAsia="en-US" w:bidi="en-US"/>
      <w:u w:val="single"/>
      <w:w w:val="100"/>
      <w:color w:val="000000"/>
      <w:position w:val="0"/>
    </w:rPr>
  </w:style>
  <w:style w:type="character" w:customStyle="1" w:styleId="CharStyle20">
    <w:name w:val="Основной текст (4) Exact"/>
    <w:basedOn w:val="DefaultParagraphFont"/>
    <w:link w:val="Style19"/>
    <w:rPr>
      <w:b w:val="0"/>
      <w:bCs w:val="0"/>
      <w:i w:val="0"/>
      <w:iCs w:val="0"/>
      <w:u w:val="none"/>
      <w:strike w:val="0"/>
      <w:smallCaps w:val="0"/>
      <w:sz w:val="17"/>
      <w:szCs w:val="17"/>
      <w:rFonts w:ascii="Segoe UI" w:eastAsia="Segoe UI" w:hAnsi="Segoe UI" w:cs="Segoe UI"/>
    </w:rPr>
  </w:style>
  <w:style w:type="character" w:customStyle="1" w:styleId="CharStyle21">
    <w:name w:val="Основной текст (4) Exact"/>
    <w:basedOn w:val="CharStyle20"/>
    <w:rPr>
      <w:lang w:val="ru-RU" w:eastAsia="ru-RU" w:bidi="ru-RU"/>
      <w:w w:val="100"/>
      <w:spacing w:val="0"/>
      <w:color w:val="000000"/>
      <w:position w:val="0"/>
    </w:rPr>
  </w:style>
  <w:style w:type="character" w:customStyle="1" w:styleId="CharStyle23">
    <w:name w:val="Основной текст (5) Exact"/>
    <w:basedOn w:val="DefaultParagraphFont"/>
    <w:link w:val="Style22"/>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24">
    <w:name w:val="Основной текст (5) Exact"/>
    <w:basedOn w:val="CharStyle23"/>
    <w:rPr>
      <w:lang w:val="ru-RU" w:eastAsia="ru-RU" w:bidi="ru-RU"/>
      <w:w w:val="100"/>
      <w:color w:val="000000"/>
      <w:position w:val="0"/>
    </w:rPr>
  </w:style>
  <w:style w:type="character" w:customStyle="1" w:styleId="CharStyle26">
    <w:name w:val="Основной текст (6) Exact"/>
    <w:basedOn w:val="DefaultParagraphFont"/>
    <w:link w:val="Style25"/>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7">
    <w:name w:val="Основной текст (6) Exact"/>
    <w:basedOn w:val="CharStyle26"/>
    <w:rPr>
      <w:lang w:val="ru-RU" w:eastAsia="ru-RU" w:bidi="ru-RU"/>
      <w:color w:val="000000"/>
      <w:position w:val="0"/>
    </w:rPr>
  </w:style>
  <w:style w:type="character" w:customStyle="1" w:styleId="CharStyle29">
    <w:name w:val="Основной текст (7) Exact"/>
    <w:basedOn w:val="DefaultParagraphFont"/>
    <w:link w:val="Style28"/>
    <w:rPr>
      <w:b/>
      <w:bCs/>
      <w:i w:val="0"/>
      <w:iCs w:val="0"/>
      <w:u w:val="none"/>
      <w:strike w:val="0"/>
      <w:smallCaps w:val="0"/>
      <w:sz w:val="42"/>
      <w:szCs w:val="42"/>
    </w:rPr>
  </w:style>
  <w:style w:type="character" w:customStyle="1" w:styleId="CharStyle30">
    <w:name w:val="Основной текст (7) Exact"/>
    <w:basedOn w:val="CharStyle29"/>
    <w:rPr>
      <w:lang w:val="ru-RU" w:eastAsia="ru-RU" w:bidi="ru-RU"/>
      <w:rFonts w:ascii="Courier New" w:eastAsia="Courier New" w:hAnsi="Courier New" w:cs="Courier New"/>
      <w:w w:val="100"/>
      <w:spacing w:val="0"/>
      <w:color w:val="000000"/>
      <w:position w:val="0"/>
    </w:rPr>
  </w:style>
  <w:style w:type="character" w:customStyle="1" w:styleId="CharStyle32">
    <w:name w:val="Основной текст (8) Exact"/>
    <w:basedOn w:val="DefaultParagraphFont"/>
    <w:link w:val="Style31"/>
    <w:rPr>
      <w:b w:val="0"/>
      <w:bCs w:val="0"/>
      <w:i w:val="0"/>
      <w:iCs w:val="0"/>
      <w:u w:val="none"/>
      <w:strike w:val="0"/>
      <w:smallCaps w:val="0"/>
      <w:sz w:val="38"/>
      <w:szCs w:val="38"/>
      <w:rFonts w:ascii="Times New Roman" w:eastAsia="Times New Roman" w:hAnsi="Times New Roman" w:cs="Times New Roman"/>
    </w:rPr>
  </w:style>
  <w:style w:type="character" w:customStyle="1" w:styleId="CharStyle33">
    <w:name w:val="Основной текст (8) Exact"/>
    <w:basedOn w:val="CharStyle32"/>
    <w:rPr>
      <w:lang w:val="ru-RU" w:eastAsia="ru-RU" w:bidi="ru-RU"/>
      <w:w w:val="100"/>
      <w:spacing w:val="0"/>
      <w:color w:val="000000"/>
      <w:position w:val="0"/>
    </w:rPr>
  </w:style>
  <w:style w:type="character" w:customStyle="1" w:styleId="CharStyle35">
    <w:name w:val="Основной текст (9) Exact"/>
    <w:basedOn w:val="DefaultParagraphFont"/>
    <w:link w:val="Style34"/>
    <w:rPr>
      <w:b/>
      <w:bCs/>
      <w:i w:val="0"/>
      <w:iCs w:val="0"/>
      <w:u w:val="none"/>
      <w:strike w:val="0"/>
      <w:smallCaps w:val="0"/>
      <w:rFonts w:ascii="Times New Roman" w:eastAsia="Times New Roman" w:hAnsi="Times New Roman" w:cs="Times New Roman"/>
    </w:rPr>
  </w:style>
  <w:style w:type="character" w:customStyle="1" w:styleId="CharStyle37">
    <w:name w:val="Штрих-код (2)_"/>
    <w:basedOn w:val="DefaultParagraphFont"/>
    <w:link w:val="Style3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8">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40">
    <w:name w:val="Заголовок №1_"/>
    <w:basedOn w:val="DefaultParagraphFont"/>
    <w:link w:val="Style39"/>
    <w:rPr>
      <w:b/>
      <w:bCs/>
      <w:i w:val="0"/>
      <w:iCs w:val="0"/>
      <w:u w:val="none"/>
      <w:strike w:val="0"/>
      <w:smallCaps w:val="0"/>
      <w:sz w:val="26"/>
      <w:szCs w:val="26"/>
      <w:rFonts w:ascii="Times New Roman" w:eastAsia="Times New Roman" w:hAnsi="Times New Roman" w:cs="Times New Roman"/>
    </w:rPr>
  </w:style>
  <w:style w:type="character" w:customStyle="1" w:styleId="CharStyle42">
    <w:name w:val="Основной текст (10)_"/>
    <w:basedOn w:val="DefaultParagraphFont"/>
    <w:link w:val="Style41"/>
    <w:rPr>
      <w:b w:val="0"/>
      <w:bCs w:val="0"/>
      <w:i/>
      <w:iCs/>
      <w:u w:val="none"/>
      <w:strike w:val="0"/>
      <w:smallCaps w:val="0"/>
      <w:sz w:val="26"/>
      <w:szCs w:val="26"/>
      <w:rFonts w:ascii="Times New Roman" w:eastAsia="Times New Roman" w:hAnsi="Times New Roman" w:cs="Times New Roman"/>
    </w:rPr>
  </w:style>
  <w:style w:type="character" w:customStyle="1" w:styleId="CharStyle43">
    <w:name w:val="Основной текст (10) + Не курсив"/>
    <w:basedOn w:val="CharStyle42"/>
    <w:rPr>
      <w:lang w:val="ru-RU" w:eastAsia="ru-RU" w:bidi="ru-RU"/>
      <w:i/>
      <w:iCs/>
      <w:w w:val="100"/>
      <w:spacing w:val="0"/>
      <w:color w:val="000000"/>
      <w:position w:val="0"/>
    </w:rPr>
  </w:style>
  <w:style w:type="character" w:customStyle="1" w:styleId="CharStyle44">
    <w:name w:val="Основной текст + Курсив"/>
    <w:basedOn w:val="CharStyle38"/>
    <w:rPr>
      <w:lang w:val="ru-RU" w:eastAsia="ru-RU" w:bidi="ru-RU"/>
      <w:i/>
      <w:iCs/>
      <w:w w:val="100"/>
      <w:spacing w:val="0"/>
      <w:color w:val="000000"/>
      <w:position w:val="0"/>
    </w:rPr>
  </w:style>
  <w:style w:type="character" w:customStyle="1" w:styleId="CharStyle46">
    <w:name w:val="Основной текст (11)_"/>
    <w:basedOn w:val="DefaultParagraphFont"/>
    <w:link w:val="Style45"/>
    <w:rPr>
      <w:b/>
      <w:bCs/>
      <w:i w:val="0"/>
      <w:iCs w:val="0"/>
      <w:u w:val="none"/>
      <w:strike w:val="0"/>
      <w:smallCaps w:val="0"/>
      <w:sz w:val="19"/>
      <w:szCs w:val="19"/>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Подпись к картинке"/>
    <w:basedOn w:val="Normal"/>
    <w:link w:val="CharStyle7"/>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9">
    <w:name w:val="Основной текст"/>
    <w:basedOn w:val="Normal"/>
    <w:link w:val="CharStyle38"/>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5">
    <w:name w:val="Основной текст (3)"/>
    <w:basedOn w:val="Normal"/>
    <w:link w:val="CharStyle16"/>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9">
    <w:name w:val="Основной текст (4)"/>
    <w:basedOn w:val="Normal"/>
    <w:link w:val="CharStyle20"/>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2">
    <w:name w:val="Основной текст (5)"/>
    <w:basedOn w:val="Normal"/>
    <w:link w:val="CharStyle23"/>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5">
    <w:name w:val="Основной текст (6)"/>
    <w:basedOn w:val="Normal"/>
    <w:link w:val="CharStyle26"/>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8">
    <w:name w:val="Основной текст (7)"/>
    <w:basedOn w:val="Normal"/>
    <w:link w:val="CharStyle29"/>
    <w:pPr>
      <w:widowControl w:val="0"/>
      <w:shd w:val="clear" w:color="auto" w:fill="FFFFFF"/>
      <w:spacing w:line="0" w:lineRule="exact"/>
    </w:pPr>
    <w:rPr>
      <w:b/>
      <w:bCs/>
      <w:i w:val="0"/>
      <w:iCs w:val="0"/>
      <w:u w:val="none"/>
      <w:strike w:val="0"/>
      <w:smallCaps w:val="0"/>
      <w:sz w:val="42"/>
      <w:szCs w:val="42"/>
    </w:rPr>
  </w:style>
  <w:style w:type="paragraph" w:customStyle="1" w:styleId="Style31">
    <w:name w:val="Основной текст (8)"/>
    <w:basedOn w:val="Normal"/>
    <w:link w:val="CharStyle32"/>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jc w:val="center"/>
      <w:spacing w:line="322" w:lineRule="exact"/>
    </w:pPr>
    <w:rPr>
      <w:b/>
      <w:bCs/>
      <w:i w:val="0"/>
      <w:iCs w:val="0"/>
      <w:u w:val="none"/>
      <w:strike w:val="0"/>
      <w:smallCaps w:val="0"/>
      <w:rFonts w:ascii="Times New Roman" w:eastAsia="Times New Roman" w:hAnsi="Times New Roman" w:cs="Times New Roman"/>
    </w:rPr>
  </w:style>
  <w:style w:type="paragraph" w:customStyle="1" w:styleId="Style36">
    <w:name w:val="Штрих-код (2)"/>
    <w:basedOn w:val="Normal"/>
    <w:link w:val="CharStyle3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9">
    <w:name w:val="Заголовок №1"/>
    <w:basedOn w:val="Normal"/>
    <w:link w:val="CharStyle4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1">
    <w:name w:val="Основной текст (10)"/>
    <w:basedOn w:val="Normal"/>
    <w:link w:val="CharStyle42"/>
    <w:pPr>
      <w:widowControl w:val="0"/>
      <w:shd w:val="clear" w:color="auto" w:fill="FFFFFF"/>
      <w:jc w:val="both"/>
      <w:spacing w:line="322" w:lineRule="exact"/>
      <w:ind w:firstLine="680"/>
    </w:pPr>
    <w:rPr>
      <w:b w:val="0"/>
      <w:bCs w:val="0"/>
      <w:i/>
      <w:iCs/>
      <w:u w:val="none"/>
      <w:strike w:val="0"/>
      <w:smallCaps w:val="0"/>
      <w:sz w:val="26"/>
      <w:szCs w:val="26"/>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jc w:val="both"/>
      <w:spacing w:before="84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