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3"/>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5"/>
        </w:rPr>
        <w:t>V</w:t>
      </w:r>
    </w:p>
    <w:p>
      <w:pPr>
        <w:widowControl w:val="0"/>
        <w:rPr>
          <w:sz w:val="2"/>
          <w:szCs w:val="2"/>
        </w:rPr>
      </w:pPr>
    </w:p>
    <w:p>
      <w:pPr>
        <w:widowControl w:val="0"/>
        <w:rPr>
          <w:sz w:val="2"/>
          <w:szCs w:val="2"/>
        </w:rPr>
        <w:sectPr>
          <w:headerReference w:type="default" r:id="rId7"/>
          <w:footerReference w:type="default" r:id="rId8"/>
          <w:footerReference w:type="first" r:id="rId9"/>
          <w:titlePg/>
          <w:footnotePr>
            <w:pos w:val="pageBottom"/>
            <w:numFmt w:val="decimal"/>
            <w:numRestart w:val="continuous"/>
          </w:footnotePr>
          <w:type w:val="continuous"/>
          <w:pgSz w:w="11909" w:h="16838"/>
          <w:pgMar w:top="91" w:left="2620" w:right="8668" w:bottom="341" w:header="0" w:footer="3" w:gutter="0"/>
          <w:rtlGutter w:val="0"/>
          <w:cols w:space="720"/>
          <w:noEndnote/>
          <w:docGrid w:linePitch="360"/>
        </w:sectPr>
      </w:pPr>
    </w:p>
    <w:p>
      <w:pPr>
        <w:pStyle w:val="Style9"/>
        <w:widowControl w:val="0"/>
        <w:keepNext w:val="0"/>
        <w:keepLines w:val="0"/>
        <w:shd w:val="clear" w:color="auto" w:fill="auto"/>
        <w:bidi w:val="0"/>
        <w:spacing w:before="0" w:after="164"/>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0" w:line="180" w:lineRule="exact"/>
        <w:ind w:left="0" w:right="0" w:firstLine="0"/>
      </w:pPr>
      <w:r>
        <w:rPr>
          <w:rStyle w:val="CharStyle11"/>
          <w:b/>
          <w:bCs/>
        </w:rPr>
        <w:t>УПРАВЛЕ</w:t>
      </w:r>
      <w:r>
        <w:rPr>
          <w:rStyle w:val="CharStyle12"/>
          <w:b/>
          <w:bCs/>
        </w:rPr>
        <w:t>НИЕ</w:t>
      </w:r>
    </w:p>
    <w:p>
      <w:pPr>
        <w:pStyle w:val="Style13"/>
        <w:widowControl w:val="0"/>
        <w:keepNext w:val="0"/>
        <w:keepLines w:val="0"/>
        <w:shd w:val="clear" w:color="auto" w:fill="auto"/>
        <w:bidi w:val="0"/>
        <w:jc w:val="left"/>
        <w:spacing w:before="0" w:after="0"/>
        <w:ind w:left="20" w:right="0" w:firstLine="0"/>
        <w:sectPr>
          <w:type w:val="continuous"/>
          <w:pgSz w:w="11909" w:h="16838"/>
          <w:pgMar w:top="121" w:left="1343" w:right="940" w:bottom="371" w:header="0" w:footer="3" w:gutter="0"/>
          <w:rtlGutter w:val="0"/>
          <w:cols w:num="2" w:space="720" w:equalWidth="0">
            <w:col w:w="3173" w:space="1632"/>
            <w:col w:w="4819"/>
          </w:cols>
          <w:noEndnote/>
          <w:docGrid w:linePitch="360"/>
        </w:sectPr>
      </w:pPr>
      <w:r>
        <w:rPr>
          <w:lang w:val="ru-RU" w:eastAsia="ru-RU" w:bidi="ru-RU"/>
          <w:w w:val="100"/>
          <w:spacing w:val="0"/>
          <w:color w:val="000000"/>
          <w:position w:val="0"/>
        </w:rPr>
        <w:t>МОСКОВСКАЯ ГОСУДАРСТВЕННАЯ АКАДЕМИЯ ХОРЕОГРАФИИ 2-я Фрунзенская ул., д. 5, г. Москва,</w:t>
      </w:r>
    </w:p>
    <w:p>
      <w:pPr>
        <w:widowControl w:val="0"/>
        <w:spacing w:line="46" w:lineRule="exact"/>
        <w:rPr>
          <w:sz w:val="4"/>
          <w:szCs w:val="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framePr w:h="170" w:wrap="around" w:vAnchor="text" w:hAnchor="margin" w:x="-3748" w:y="201"/>
        <w:widowControl w:val="0"/>
        <w:keepNext w:val="0"/>
        <w:keepLines w:val="0"/>
        <w:shd w:val="clear" w:color="auto" w:fill="auto"/>
        <w:bidi w:val="0"/>
        <w:jc w:val="left"/>
        <w:spacing w:before="0" w:after="0" w:line="170" w:lineRule="exact"/>
        <w:ind w:left="0" w:right="0" w:firstLine="0"/>
      </w:pPr>
      <w:r>
        <w:rPr>
          <w:rStyle w:val="CharStyle16"/>
          <w:b/>
          <w:bCs/>
          <w:spacing w:val="0"/>
        </w:rPr>
        <w:t>по г. Москве</w:t>
      </w:r>
    </w:p>
    <w:p>
      <w:pPr>
        <w:pStyle w:val="Style13"/>
        <w:widowControl w:val="0"/>
        <w:keepNext w:val="0"/>
        <w:keepLines w:val="0"/>
        <w:shd w:val="clear" w:color="auto" w:fill="auto"/>
        <w:bidi w:val="0"/>
        <w:jc w:val="left"/>
        <w:spacing w:before="0" w:after="2" w:line="260" w:lineRule="exact"/>
        <w:ind w:left="20" w:right="0" w:firstLine="0"/>
      </w:pPr>
      <w:r>
        <w:rPr>
          <w:lang w:val="ru-RU" w:eastAsia="ru-RU" w:bidi="ru-RU"/>
          <w:w w:val="100"/>
          <w:spacing w:val="0"/>
          <w:color w:val="000000"/>
          <w:position w:val="0"/>
        </w:rPr>
        <w:t>119146</w:t>
      </w:r>
    </w:p>
    <w:p>
      <w:pPr>
        <w:pStyle w:val="Style13"/>
        <w:widowControl w:val="0"/>
        <w:keepNext w:val="0"/>
        <w:keepLines w:val="0"/>
        <w:shd w:val="clear" w:color="auto" w:fill="auto"/>
        <w:bidi w:val="0"/>
        <w:jc w:val="left"/>
        <w:spacing w:before="0" w:after="0" w:line="260" w:lineRule="exact"/>
        <w:ind w:left="20" w:right="0" w:firstLine="0"/>
        <w:sectPr>
          <w:type w:val="continuous"/>
          <w:pgSz w:w="11909" w:h="16838"/>
          <w:pgMar w:top="121" w:left="6148" w:right="3138" w:bottom="371" w:header="0" w:footer="3" w:gutter="0"/>
          <w:rtlGutter w:val="0"/>
          <w:cols w:space="720"/>
          <w:noEndnote/>
          <w:docGrid w:linePitch="360"/>
        </w:sectPr>
      </w:pPr>
      <w:r>
        <w:fldChar w:fldCharType="begin"/>
      </w:r>
      <w:r>
        <w:rPr>
          <w:color w:val="000000"/>
        </w:rPr>
        <w:instrText> HYPERLINK "mailto:mgahomts@mail.ru" </w:instrText>
      </w:r>
      <w:r>
        <w:fldChar w:fldCharType="separate"/>
      </w:r>
      <w:r>
        <w:rPr>
          <w:rStyle w:val="Hyperlink"/>
          <w:lang w:val="en-US" w:eastAsia="en-US" w:bidi="en-US"/>
          <w:w w:val="100"/>
          <w:spacing w:val="0"/>
          <w:position w:val="0"/>
        </w:rPr>
        <w:t>mgahomts@mail.ru</w:t>
      </w:r>
      <w:r>
        <w:fldChar w:fldCharType="end"/>
      </w:r>
    </w:p>
    <w:p>
      <w:pPr>
        <w:pStyle w:val="Style17"/>
        <w:widowControl w:val="0"/>
        <w:keepNext w:val="0"/>
        <w:keepLines w:val="0"/>
        <w:shd w:val="clear" w:color="auto" w:fill="auto"/>
        <w:bidi w:val="0"/>
        <w:spacing w:before="0" w:after="281"/>
        <w:ind w:left="0" w:right="0" w:firstLine="0"/>
      </w:pPr>
      <w:r>
        <w:rPr>
          <w:rStyle w:val="CharStyle19"/>
        </w:rPr>
        <w:t xml:space="preserve">Мясницкий проезд, д.4, стр. 1 107078, г. Москва, тел. (495) 784-75-05, факс (495) 607-49-29 факс (495) 607-42-92, </w:t>
      </w:r>
      <w:r>
        <w:rPr>
          <w:rStyle w:val="CharStyle20"/>
        </w:rPr>
        <w:t>e-mail: to77@,fas.gov.ru</w:t>
      </w:r>
    </w:p>
    <w:p>
      <w:pPr>
        <w:pStyle w:val="Style21"/>
        <w:widowControl w:val="0"/>
        <w:keepNext w:val="0"/>
        <w:keepLines w:val="0"/>
        <w:shd w:val="clear" w:color="auto" w:fill="auto"/>
        <w:bidi w:val="0"/>
        <w:spacing w:before="0" w:after="0" w:line="170" w:lineRule="exact"/>
        <w:ind w:left="0" w:right="0" w:firstLine="0"/>
      </w:pPr>
      <w:r>
        <w:rPr>
          <w:rStyle w:val="CharStyle23"/>
        </w:rPr>
        <w:t>№</w:t>
      </w:r>
    </w:p>
    <w:p>
      <w:pPr>
        <w:pStyle w:val="Style13"/>
        <w:widowControl w:val="0"/>
        <w:keepNext w:val="0"/>
        <w:keepLines w:val="0"/>
        <w:shd w:val="clear" w:color="auto" w:fill="auto"/>
        <w:bidi w:val="0"/>
        <w:jc w:val="left"/>
        <w:spacing w:before="0" w:after="0"/>
        <w:ind w:left="0" w:right="0" w:firstLine="0"/>
        <w:sectPr>
          <w:type w:val="continuous"/>
          <w:pgSz w:w="11909" w:h="16838"/>
          <w:pgMar w:top="121" w:left="1076" w:right="2170" w:bottom="371" w:header="0" w:footer="3" w:gutter="0"/>
          <w:rtlGutter w:val="0"/>
          <w:cols w:num="2" w:space="1339"/>
          <w:noEndnote/>
          <w:docGrid w:linePitch="360"/>
        </w:sectPr>
      </w:pPr>
      <w:r>
        <w:rPr>
          <w:lang w:val="ru-RU" w:eastAsia="ru-RU" w:bidi="ru-RU"/>
          <w:w w:val="100"/>
          <w:spacing w:val="0"/>
          <w:color w:val="000000"/>
          <w:position w:val="0"/>
        </w:rPr>
        <w:t xml:space="preserve">ИП Кремешкова А. А. ул. Милицейская, д. 8, 40, р-н. СУХОЛОЖСКИЙ, 624800 </w:t>
      </w:r>
      <w:r>
        <w:fldChar w:fldCharType="begin"/>
      </w:r>
      <w:r>
        <w:rPr>
          <w:color w:val="000000"/>
        </w:rPr>
        <w:instrText> HYPERLINK "mailto:ip.kremeshkova@yandex.ru" </w:instrText>
      </w:r>
      <w:r>
        <w:fldChar w:fldCharType="separate"/>
      </w:r>
      <w:r>
        <w:rPr>
          <w:rStyle w:val="Hyperlink"/>
          <w:lang w:val="en-US" w:eastAsia="en-US" w:bidi="en-US"/>
          <w:w w:val="100"/>
          <w:spacing w:val="0"/>
          <w:position w:val="0"/>
        </w:rPr>
        <w:t>ip.kremeshkova@yandex.ru</w:t>
      </w:r>
      <w:r>
        <w:fldChar w:fldCharType="end"/>
      </w:r>
    </w:p>
    <w:p>
      <w:pPr>
        <w:pStyle w:val="Style17"/>
        <w:framePr w:h="160" w:wrap="around" w:vAnchor="text" w:hAnchor="margin" w:x="1895" w:y="12"/>
        <w:widowControl w:val="0"/>
        <w:keepNext w:val="0"/>
        <w:keepLines w:val="0"/>
        <w:shd w:val="clear" w:color="auto" w:fill="auto"/>
        <w:bidi w:val="0"/>
        <w:jc w:val="left"/>
        <w:spacing w:before="0" w:after="0" w:line="160" w:lineRule="exact"/>
        <w:ind w:left="100" w:right="0" w:firstLine="0"/>
      </w:pPr>
      <w:r>
        <w:rPr>
          <w:rStyle w:val="CharStyle25"/>
          <w:spacing w:val="0"/>
        </w:rPr>
        <w:t>от</w:t>
      </w:r>
    </w:p>
    <w:p>
      <w:pPr>
        <w:pStyle w:val="Style26"/>
        <w:widowControl w:val="0"/>
        <w:keepNext w:val="0"/>
        <w:keepLines w:val="0"/>
        <w:shd w:val="clear" w:color="auto" w:fill="auto"/>
        <w:bidi w:val="0"/>
        <w:jc w:val="left"/>
        <w:spacing w:before="0" w:after="0" w:line="170" w:lineRule="exact"/>
        <w:ind w:left="0" w:right="0" w:firstLine="0"/>
        <w:sectPr>
          <w:type w:val="continuous"/>
          <w:pgSz w:w="11909" w:h="16838"/>
          <w:pgMar w:top="121" w:left="883" w:right="10387" w:bottom="371" w:header="0" w:footer="3" w:gutter="0"/>
          <w:rtlGutter w:val="0"/>
          <w:cols w:space="720"/>
          <w:noEndnote/>
          <w:docGrid w:linePitch="360"/>
        </w:sectPr>
      </w:pPr>
      <w:r>
        <w:rPr>
          <w:rStyle w:val="CharStyle28"/>
        </w:rPr>
        <w:t>На№</w:t>
      </w:r>
    </w:p>
    <w:p>
      <w:pPr>
        <w:widowControl w:val="0"/>
        <w:spacing w:before="72" w:after="7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9"/>
        <w:framePr w:h="420" w:wrap="around" w:vAnchor="text" w:hAnchor="margin" w:x="-2418" w:y="-81"/>
        <w:widowControl w:val="0"/>
        <w:keepNext w:val="0"/>
        <w:keepLines w:val="0"/>
        <w:shd w:val="clear" w:color="auto" w:fill="auto"/>
        <w:bidi w:val="0"/>
        <w:jc w:val="left"/>
        <w:spacing w:before="0" w:after="0" w:line="420" w:lineRule="exact"/>
        <w:ind w:left="0" w:right="0" w:firstLine="0"/>
      </w:pPr>
      <w:r>
        <w:rPr>
          <w:rStyle w:val="CharStyle31"/>
          <w:b/>
          <w:bCs/>
        </w:rPr>
        <w:t>Г</w:t>
      </w:r>
    </w:p>
    <w:p>
      <w:pPr>
        <w:pStyle w:val="Style32"/>
        <w:widowControl w:val="0"/>
        <w:keepNext w:val="0"/>
        <w:keepLines w:val="0"/>
        <w:shd w:val="clear" w:color="auto" w:fill="auto"/>
        <w:bidi w:val="0"/>
        <w:jc w:val="left"/>
        <w:spacing w:before="0" w:after="602" w:line="540" w:lineRule="exact"/>
        <w:ind w:left="1380" w:right="0" w:firstLine="0"/>
      </w:pPr>
      <w:r>
        <w:rPr>
          <w:rStyle w:val="CharStyle34"/>
        </w:rPr>
        <w:t>п</w:t>
      </w:r>
    </w:p>
    <w:p>
      <w:pPr>
        <w:pStyle w:val="Style35"/>
        <w:widowControl w:val="0"/>
        <w:keepNext w:val="0"/>
        <w:keepLines w:val="0"/>
        <w:shd w:val="clear" w:color="auto" w:fill="auto"/>
        <w:bidi w:val="0"/>
        <w:spacing w:before="0" w:after="0"/>
        <w:ind w:left="0" w:right="0" w:firstLine="0"/>
        <w:sectPr>
          <w:type w:val="continuous"/>
          <w:pgSz w:w="11909" w:h="16838"/>
          <w:pgMar w:top="121" w:left="3292" w:right="2678" w:bottom="371" w:header="0" w:footer="3" w:gutter="0"/>
          <w:rtlGutter w:val="0"/>
          <w:cols w:space="720"/>
          <w:noEndnote/>
          <w:docGrid w:linePitch="360"/>
        </w:sectPr>
      </w:pPr>
      <w:r>
        <w:rPr>
          <w:lang w:val="ru-RU" w:eastAsia="ru-RU" w:bidi="ru-RU"/>
          <w:w w:val="100"/>
          <w:spacing w:val="0"/>
          <w:color w:val="000000"/>
          <w:position w:val="0"/>
        </w:rPr>
        <w:t>РЕШЕНИЕ по делу №077/06/106-11444/2022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5"/>
        <w:framePr w:h="240" w:wrap="around" w:vAnchor="text" w:hAnchor="margin" w:x="8803" w:y="6"/>
        <w:widowControl w:val="0"/>
        <w:keepNext w:val="0"/>
        <w:keepLines w:val="0"/>
        <w:shd w:val="clear" w:color="auto" w:fill="auto"/>
        <w:bidi w:val="0"/>
        <w:jc w:val="left"/>
        <w:spacing w:before="0" w:after="0" w:line="240" w:lineRule="exact"/>
        <w:ind w:left="100" w:right="0" w:firstLine="0"/>
      </w:pPr>
      <w:r>
        <w:rPr>
          <w:rStyle w:val="CharStyle37"/>
          <w:b/>
          <w:bCs/>
          <w:spacing w:val="0"/>
        </w:rPr>
        <w:t>г. Москва</w:t>
      </w:r>
    </w:p>
    <w:p>
      <w:pPr>
        <w:pStyle w:val="Style35"/>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03.08 .2022</w:t>
      </w:r>
    </w:p>
    <w:p>
      <w:pPr>
        <w:pStyle w:val="Style13"/>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3"/>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Председательствующего - главного специалиста-эксперта отдела обжалования государственных закупок А.А. Кутейникова,</w:t>
      </w:r>
    </w:p>
    <w:p>
      <w:pPr>
        <w:pStyle w:val="Style13"/>
        <w:widowControl w:val="0"/>
        <w:keepNext w:val="0"/>
        <w:keepLines w:val="0"/>
        <w:shd w:val="clear" w:color="auto" w:fill="auto"/>
        <w:bidi w:val="0"/>
        <w:jc w:val="both"/>
        <w:spacing w:before="0" w:after="0" w:line="331" w:lineRule="exact"/>
        <w:ind w:left="20" w:right="0" w:firstLine="580"/>
      </w:pPr>
      <w:r>
        <w:rPr>
          <w:lang w:val="ru-RU" w:eastAsia="ru-RU" w:bidi="ru-RU"/>
          <w:w w:val="100"/>
          <w:spacing w:val="0"/>
          <w:color w:val="000000"/>
          <w:position w:val="0"/>
        </w:rPr>
        <w:t>Членов Комиссии:</w:t>
      </w:r>
    </w:p>
    <w:p>
      <w:pPr>
        <w:pStyle w:val="Style13"/>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13"/>
        <w:widowControl w:val="0"/>
        <w:keepNext w:val="0"/>
        <w:keepLines w:val="0"/>
        <w:shd w:val="clear" w:color="auto" w:fill="auto"/>
        <w:bidi w:val="0"/>
        <w:jc w:val="both"/>
        <w:spacing w:before="0" w:after="0" w:line="331" w:lineRule="exact"/>
        <w:ind w:left="20" w:right="0" w:firstLine="58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13"/>
        <w:tabs>
          <w:tab w:leader="none" w:pos="625" w:val="left"/>
        </w:tabs>
        <w:widowControl w:val="0"/>
        <w:keepNext w:val="0"/>
        <w:keepLines w:val="0"/>
        <w:shd w:val="clear" w:color="auto" w:fill="auto"/>
        <w:bidi w:val="0"/>
        <w:jc w:val="both"/>
        <w:spacing w:before="0" w:after="0" w:line="331" w:lineRule="exact"/>
        <w:ind w:left="20" w:right="0" w:firstLine="0"/>
      </w:pPr>
      <w:r>
        <w:rPr>
          <w:lang w:val="ru-RU" w:eastAsia="ru-RU" w:bidi="ru-RU"/>
          <w:w w:val="100"/>
          <w:spacing w:val="0"/>
          <w:color w:val="000000"/>
          <w:position w:val="0"/>
        </w:rPr>
        <w:t>Н.А. Узкого,</w:t>
      </w:r>
    </w:p>
    <w:p>
      <w:pPr>
        <w:pStyle w:val="Style13"/>
        <w:tabs>
          <w:tab w:leader="none" w:pos="594" w:val="left"/>
        </w:tabs>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13"/>
        <w:widowControl w:val="0"/>
        <w:keepNext w:val="0"/>
        <w:keepLines w:val="0"/>
        <w:shd w:val="clear" w:color="auto" w:fill="auto"/>
        <w:bidi w:val="0"/>
        <w:jc w:val="both"/>
        <w:spacing w:before="0" w:after="0" w:line="331"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13"/>
        <w:widowControl w:val="0"/>
        <w:keepNext w:val="0"/>
        <w:keepLines w:val="0"/>
        <w:shd w:val="clear" w:color="auto" w:fill="auto"/>
        <w:bidi w:val="0"/>
        <w:jc w:val="left"/>
        <w:spacing w:before="0" w:after="0" w:line="331" w:lineRule="exact"/>
        <w:ind w:left="20" w:right="20" w:firstLine="580"/>
      </w:pPr>
      <w:r>
        <w:rPr>
          <w:lang w:val="ru-RU" w:eastAsia="ru-RU" w:bidi="ru-RU"/>
          <w:w w:val="100"/>
          <w:spacing w:val="0"/>
          <w:color w:val="000000"/>
          <w:position w:val="0"/>
        </w:rPr>
        <w:t>при участии представителя МОСКОВСКОЙ ГОСУДАРСТВЕННОЙ АКАДЕМИЯ ХОРЕОГРАФИИ: Манакова А.Н. (по доверенности от 02.08.2022 №74), в отсутствии представителей ИП Кремешкова А.А., уведомленных надлежащим образом письмом Московского УФАС №ЕИ/39650/22 от 29.07.2022.</w:t>
      </w:r>
    </w:p>
    <w:p>
      <w:pPr>
        <w:pStyle w:val="Style13"/>
        <w:widowControl w:val="0"/>
        <w:keepNext w:val="0"/>
        <w:keepLines w:val="0"/>
        <w:shd w:val="clear" w:color="auto" w:fill="auto"/>
        <w:bidi w:val="0"/>
        <w:jc w:val="both"/>
        <w:spacing w:before="0" w:after="417" w:line="317" w:lineRule="exact"/>
        <w:ind w:left="20" w:right="20" w:firstLine="580"/>
      </w:pPr>
      <w:r>
        <w:rPr>
          <w:lang w:val="ru-RU" w:eastAsia="ru-RU" w:bidi="ru-RU"/>
          <w:w w:val="100"/>
          <w:spacing w:val="0"/>
          <w:color w:val="000000"/>
          <w:position w:val="0"/>
        </w:rPr>
        <w:t>рассмотрев жалобу ИП Кремешкова А.А. (далее — Заявитель) на действия МОСКОВСКОЙ ГОСУДАРСТВЕННОЙ АКАДЕМИИ ХОРЕОГРАФИИ (далее — Заказчик) при проведении открытого конкурса в электронной форме на право заключения государственного контракта на выполнение работ по монтажу</w:t>
      </w:r>
    </w:p>
    <w:p>
      <w:pPr>
        <w:pStyle w:val="Style38"/>
        <w:widowControl w:val="0"/>
        <w:keepNext w:val="0"/>
        <w:keepLines w:val="0"/>
        <w:shd w:val="clear" w:color="auto" w:fill="auto"/>
        <w:bidi w:val="0"/>
        <w:jc w:val="left"/>
        <w:spacing w:before="0" w:after="0" w:line="240" w:lineRule="auto"/>
        <w:ind w:left="0" w:right="0" w:firstLine="0"/>
        <w:sectPr>
          <w:type w:val="continuous"/>
          <w:pgSz w:w="11909" w:h="16838"/>
          <w:pgMar w:top="121" w:left="844" w:right="849" w:bottom="371" w:header="0" w:footer="3" w:gutter="0"/>
          <w:rtlGutter w:val="0"/>
          <w:cols w:space="720"/>
          <w:noEndnote/>
          <w:docGrid w:linePitch="360"/>
        </w:sectPr>
      </w:pPr>
      <w:r>
        <w:rPr>
          <w:w w:val="100"/>
          <w:spacing w:val="0"/>
          <w:color w:val="000000"/>
          <w:position w:val="0"/>
        </w:rPr>
        <w:t>001517726416</w:t>
      </w:r>
    </w:p>
    <w:p>
      <w:pPr>
        <w:pStyle w:val="Style13"/>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(дооснащению и модернизации) системы автоматической установки порошкового пожаротушения, системы автоматической пожарной сигнализации, системы оповещения людей о пожаре (подвал), системы СКУД (3-й этаж) и системы безопасности здания (система видеонаблюдения) (Закупка № 0373100041422000003)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40"/>
        <w:widowControl w:val="0"/>
        <w:keepNext/>
        <w:keepLines/>
        <w:shd w:val="clear" w:color="auto" w:fill="auto"/>
        <w:bidi w:val="0"/>
        <w:spacing w:before="0" w:after="319"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13"/>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13"/>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исх.№ №ЕИ/39650/22 от 29.07.2022, документы и сведения.</w:t>
      </w:r>
    </w:p>
    <w:p>
      <w:pPr>
        <w:pStyle w:val="Style13"/>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13"/>
        <w:numPr>
          <w:ilvl w:val="0"/>
          <w:numId w:val="1"/>
        </w:numPr>
        <w:tabs>
          <w:tab w:leader="none" w:pos="1029" w:val="left"/>
        </w:tabs>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В составе жалобы Заявителем указано, что Заказчиком неправомерно не установлены дополнительные требования к участникам закупки, предусмотренные п.10 Приложения к Постановлению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13"/>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силу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п.4, 5, 18, 30, 42, 49, 54 и 59 ч.1 ст.93 Закона о контрактной системе, заказчик устанавливает единые требования к участникам закупки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3"/>
        <w:numPr>
          <w:ilvl w:val="0"/>
          <w:numId w:val="3"/>
        </w:numPr>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 xml:space="preserve"> финансовых ресурсов для исполнения контракта;</w:t>
      </w:r>
    </w:p>
    <w:p>
      <w:pPr>
        <w:pStyle w:val="Style13"/>
        <w:numPr>
          <w:ilvl w:val="0"/>
          <w:numId w:val="3"/>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3"/>
        <w:numPr>
          <w:ilvl w:val="0"/>
          <w:numId w:val="3"/>
        </w:numPr>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3"/>
        <w:numPr>
          <w:ilvl w:val="0"/>
          <w:numId w:val="3"/>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 в данном конкретном случае в соответствии с постановление № 2571.</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На основании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Комиссией Управления установлено, что в соответствии с извещением о проведении открытого конкурса в электронной форме от 13.07.2022 №0373100041422000003 объектом закупки является выполнение работ по выполнение работ по монтажу (дооснащению и модернизации) системы автоматической установки порошкового пожаротушения, системы автоматической пожарной сигнализации, системы оповещения людей о пожаре (подвал), системы СКУД (3-й этаж) и системы безопасности здания (система видеонаблюдения) с начальной (максимальной) ценой контракта 13 100 000,00 рублей.</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Приложении к постановлению № 2571 дополнительные требования к участникам закупки установлены в отношении отдельных видов товаров, работ, услуг и сгруппированы в разделы в разрезе сферы закупаемых товаров, работ, услуг.</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Согласно позиции 10 Приложения к постановлению № 2571 при проведении конкурентных процедур на выполнение работ по капитальному ремонту объекта капитального строительства (за исключением линейного объекта) устанавливаются дополнительные требования, подтверждающиеся наличием у участника закупки следующего опыта выполнения работ:</w:t>
      </w:r>
    </w:p>
    <w:p>
      <w:pPr>
        <w:pStyle w:val="Style13"/>
        <w:numPr>
          <w:ilvl w:val="0"/>
          <w:numId w:val="5"/>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13"/>
        <w:numPr>
          <w:ilvl w:val="0"/>
          <w:numId w:val="5"/>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13"/>
        <w:numPr>
          <w:ilvl w:val="0"/>
          <w:numId w:val="5"/>
        </w:numPr>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соответствии с абз.3 пп. «а» п.3 постановления № 2571 позиция 10 Приложения применяется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При этом согласно п.14.2 ст.1 Градостроительного кодекса Российской Федерации (далее — ГрК РФ)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силу ч.2 ст.52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в рамках данной закупки будут проводится работы по модернизации и дооснащению системы пожарной безопасности, установка нового оборудования. При этом работы, предусмотренные техническим заданием не относятся к работам, затрагивающим конструктивные и другие характеристики надежности и безопасности объектов капитального строительства.</w:t>
      </w:r>
    </w:p>
    <w:p>
      <w:pPr>
        <w:pStyle w:val="Style1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Также представитель Заказчика пояснил, что извещение о проведении конкурса не содержит проектную документации и Заказчиком не установлены требования к участникам закупки о наличии у них членства в саморегулируемой организации.</w:t>
      </w:r>
    </w:p>
    <w:p>
      <w:pPr>
        <w:pStyle w:val="Style1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Вместе с тем на заседании Комиссии Управления представитель Заявителя отсутствовал, а также в составе жалобы не представлено документов и сведений, свидетельствующих что работы, предусмотренные технической частью конкурсной документации, относятся к работам по капитальному ремонту.</w:t>
      </w:r>
    </w:p>
    <w:p>
      <w:pPr>
        <w:pStyle w:val="Style1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основании вышеизложенного Комиссия Управления приходит к выводу о необоснованности доводов жалобы Заявителя.</w:t>
      </w:r>
    </w:p>
    <w:p>
      <w:pPr>
        <w:pStyle w:val="Style1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2. В составе жалобы Заявитель указывает на установление в конкурсной документации неправомерного порядка оценки заявок участников закупки по показателю «Наличие у участников закупки опыта работы, связанного с предметом контракта» нестоимостного критерия «Квалификация участников закупки».</w:t>
      </w:r>
    </w:p>
    <w:p>
      <w:pPr>
        <w:pStyle w:val="Style1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13"/>
        <w:numPr>
          <w:ilvl w:val="0"/>
          <w:numId w:val="7"/>
        </w:numPr>
        <w:widowControl w:val="0"/>
        <w:keepNext w:val="0"/>
        <w:keepLines w:val="0"/>
        <w:shd w:val="clear" w:color="auto" w:fill="auto"/>
        <w:bidi w:val="0"/>
        <w:jc w:val="both"/>
        <w:spacing w:before="0" w:after="0" w:line="307" w:lineRule="exact"/>
        <w:ind w:left="20" w:right="0" w:firstLine="700"/>
      </w:pPr>
      <w:r>
        <w:rPr>
          <w:lang w:val="ru-RU" w:eastAsia="ru-RU" w:bidi="ru-RU"/>
          <w:w w:val="100"/>
          <w:spacing w:val="0"/>
          <w:color w:val="000000"/>
          <w:position w:val="0"/>
        </w:rPr>
        <w:t xml:space="preserve"> цена контракта;</w:t>
      </w:r>
    </w:p>
    <w:p>
      <w:pPr>
        <w:pStyle w:val="Style13"/>
        <w:numPr>
          <w:ilvl w:val="0"/>
          <w:numId w:val="7"/>
        </w:numPr>
        <w:widowControl w:val="0"/>
        <w:keepNext w:val="0"/>
        <w:keepLines w:val="0"/>
        <w:shd w:val="clear" w:color="auto" w:fill="auto"/>
        <w:bidi w:val="0"/>
        <w:jc w:val="both"/>
        <w:spacing w:before="0" w:after="0" w:line="307" w:lineRule="exact"/>
        <w:ind w:left="20" w:right="0" w:firstLine="70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13"/>
        <w:numPr>
          <w:ilvl w:val="0"/>
          <w:numId w:val="7"/>
        </w:numPr>
        <w:widowControl w:val="0"/>
        <w:keepNext w:val="0"/>
        <w:keepLines w:val="0"/>
        <w:shd w:val="clear" w:color="auto" w:fill="auto"/>
        <w:bidi w:val="0"/>
        <w:jc w:val="both"/>
        <w:spacing w:before="0" w:after="0" w:line="307" w:lineRule="exact"/>
        <w:ind w:left="20" w:right="0" w:firstLine="70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13"/>
        <w:numPr>
          <w:ilvl w:val="0"/>
          <w:numId w:val="7"/>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3"/>
        <w:tabs>
          <w:tab w:leader="none" w:pos="3082" w:val="left"/>
          <w:tab w:leader="none" w:pos="3869" w:val="left"/>
        </w:tabs>
        <w:widowControl w:val="0"/>
        <w:keepNext w:val="0"/>
        <w:keepLines w:val="0"/>
        <w:shd w:val="clear" w:color="auto" w:fill="auto"/>
        <w:bidi w:val="0"/>
        <w:jc w:val="both"/>
        <w:spacing w:before="0" w:after="0" w:line="307" w:lineRule="exact"/>
        <w:ind w:left="20" w:right="0" w:firstLine="700"/>
      </w:pPr>
      <w:r>
        <w:rPr>
          <w:lang w:val="ru-RU" w:eastAsia="ru-RU" w:bidi="ru-RU"/>
          <w:w w:val="100"/>
          <w:spacing w:val="0"/>
          <w:color w:val="000000"/>
          <w:position w:val="0"/>
        </w:rPr>
        <w:t>Согласно п.11</w:t>
        <w:tab/>
        <w:t>ч.1</w:t>
        <w:tab/>
        <w:t>ст.42 Закона о контрактной системе при</w:t>
      </w:r>
    </w:p>
    <w:p>
      <w:pPr>
        <w:pStyle w:val="Style13"/>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3"/>
        <w:widowControl w:val="0"/>
        <w:keepNext w:val="0"/>
        <w:keepLines w:val="0"/>
        <w:shd w:val="clear" w:color="auto" w:fill="auto"/>
        <w:bidi w:val="0"/>
        <w:jc w:val="both"/>
        <w:spacing w:before="0" w:after="0" w:line="298" w:lineRule="exact"/>
        <w:ind w:left="40" w:right="40" w:firstLine="0"/>
      </w:pPr>
      <w:r>
        <w:rPr>
          <w:lang w:val="ru-RU" w:eastAsia="ru-RU" w:bidi="ru-RU"/>
          <w:w w:val="100"/>
          <w:spacing w:val="0"/>
          <w:color w:val="000000"/>
          <w:position w:val="0"/>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3"/>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В соответствии с конкурсной документацией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13"/>
        <w:tabs>
          <w:tab w:leader="none" w:pos="2877" w:val="center"/>
          <w:tab w:leader="none" w:pos="3359" w:val="left"/>
        </w:tabs>
        <w:widowControl w:val="0"/>
        <w:keepNext w:val="0"/>
        <w:keepLines w:val="0"/>
        <w:shd w:val="clear" w:color="auto" w:fill="auto"/>
        <w:bidi w:val="0"/>
        <w:jc w:val="both"/>
        <w:spacing w:before="0" w:after="0" w:line="298" w:lineRule="exact"/>
        <w:ind w:left="40" w:right="0" w:firstLine="720"/>
      </w:pPr>
      <w:r>
        <w:rPr>
          <w:lang w:val="ru-RU" w:eastAsia="ru-RU" w:bidi="ru-RU"/>
          <w:w w:val="100"/>
          <w:spacing w:val="0"/>
          <w:color w:val="000000"/>
          <w:position w:val="0"/>
        </w:rPr>
        <w:t>Согласно ч.4</w:t>
        <w:tab/>
        <w:t>ст.24</w:t>
        <w:tab/>
        <w:t>Закона о контрактной системе победителем конкурса</w:t>
      </w:r>
    </w:p>
    <w:p>
      <w:pPr>
        <w:pStyle w:val="Style13"/>
        <w:widowControl w:val="0"/>
        <w:keepNext w:val="0"/>
        <w:keepLines w:val="0"/>
        <w:shd w:val="clear" w:color="auto" w:fill="auto"/>
        <w:bidi w:val="0"/>
        <w:jc w:val="both"/>
        <w:spacing w:before="0" w:after="0" w:line="298" w:lineRule="exact"/>
        <w:ind w:left="40" w:right="40" w:firstLine="0"/>
      </w:pPr>
      <w:r>
        <w:rPr>
          <w:lang w:val="ru-RU" w:eastAsia="ru-RU" w:bidi="ru-RU"/>
          <w:w w:val="100"/>
          <w:spacing w:val="0"/>
          <w:color w:val="000000"/>
          <w:position w:val="0"/>
        </w:rPr>
        <w:t>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w:t>
      </w:r>
    </w:p>
    <w:p>
      <w:pPr>
        <w:pStyle w:val="Style13"/>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В соответствии с п.24 Положений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3"/>
        <w:widowControl w:val="0"/>
        <w:keepNext w:val="0"/>
        <w:keepLines w:val="0"/>
        <w:shd w:val="clear" w:color="auto" w:fill="auto"/>
        <w:bidi w:val="0"/>
        <w:jc w:val="both"/>
        <w:spacing w:before="0" w:after="0" w:line="298" w:lineRule="exact"/>
        <w:ind w:left="40" w:right="0" w:firstLine="720"/>
      </w:pPr>
      <w:r>
        <w:rPr>
          <w:lang w:val="ru-RU" w:eastAsia="ru-RU" w:bidi="ru-RU"/>
          <w:w w:val="100"/>
          <w:spacing w:val="0"/>
          <w:color w:val="000000"/>
          <w:position w:val="0"/>
        </w:rPr>
        <w:t>а) наличие у участников закупки финансовых ресурсов;</w:t>
      </w:r>
    </w:p>
    <w:p>
      <w:pPr>
        <w:pStyle w:val="Style13"/>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13"/>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13"/>
        <w:widowControl w:val="0"/>
        <w:keepNext w:val="0"/>
        <w:keepLines w:val="0"/>
        <w:shd w:val="clear" w:color="auto" w:fill="auto"/>
        <w:bidi w:val="0"/>
        <w:jc w:val="both"/>
        <w:spacing w:before="0" w:after="0" w:line="298" w:lineRule="exact"/>
        <w:ind w:left="40" w:right="0" w:firstLine="720"/>
      </w:pPr>
      <w:r>
        <w:rPr>
          <w:lang w:val="ru-RU" w:eastAsia="ru-RU" w:bidi="ru-RU"/>
          <w:w w:val="100"/>
          <w:spacing w:val="0"/>
          <w:color w:val="000000"/>
          <w:position w:val="0"/>
        </w:rPr>
        <w:t>г) наличие у участников закупки деловой репутации;</w:t>
      </w:r>
    </w:p>
    <w:p>
      <w:pPr>
        <w:pStyle w:val="Style13"/>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13"/>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Согласно п.25 Положений для оценки заявок по показателям оценки, предусмотренным пунктом 24 настоящего Положения, применяются детализирующие показатели.</w:t>
      </w:r>
    </w:p>
    <w:p>
      <w:pPr>
        <w:pStyle w:val="Style13"/>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Комиссией Управления определено, что согласно конкурсной документации Заказчиком установлен в том числе следующий порядок оценки заявок по показателю «Наличие у участников закупки опыта работы, связанного с предметом контракта»:</w:t>
      </w:r>
    </w:p>
    <w:p>
      <w:pPr>
        <w:pStyle w:val="Style42"/>
        <w:tabs>
          <w:tab w:leader="none" w:pos="3359" w:val="left"/>
        </w:tabs>
        <w:widowControl w:val="0"/>
        <w:keepNext w:val="0"/>
        <w:keepLines w:val="0"/>
        <w:shd w:val="clear" w:color="auto" w:fill="auto"/>
        <w:bidi w:val="0"/>
        <w:spacing w:before="0" w:after="0"/>
        <w:ind w:left="40" w:right="0" w:firstLine="720"/>
      </w:pPr>
      <w:r>
        <w:rPr>
          <w:lang w:val="ru-RU" w:eastAsia="ru-RU" w:bidi="ru-RU"/>
          <w:sz w:val="24"/>
          <w:szCs w:val="24"/>
          <w:w w:val="100"/>
          <w:spacing w:val="0"/>
          <w:color w:val="000000"/>
          <w:position w:val="0"/>
        </w:rPr>
        <w:t>«Предмет оценки:</w:t>
        <w:tab/>
        <w:t>Оценивается предложение участника об исполненных</w:t>
      </w:r>
    </w:p>
    <w:p>
      <w:pPr>
        <w:pStyle w:val="Style42"/>
        <w:widowControl w:val="0"/>
        <w:keepNext w:val="0"/>
        <w:keepLines w:val="0"/>
        <w:shd w:val="clear" w:color="auto" w:fill="auto"/>
        <w:bidi w:val="0"/>
        <w:spacing w:before="0" w:after="0"/>
        <w:ind w:left="40" w:right="40" w:firstLine="0"/>
      </w:pPr>
      <w:r>
        <w:rPr>
          <w:lang w:val="ru-RU" w:eastAsia="ru-RU" w:bidi="ru-RU"/>
          <w:sz w:val="24"/>
          <w:szCs w:val="24"/>
          <w:w w:val="100"/>
          <w:spacing w:val="0"/>
          <w:color w:val="000000"/>
          <w:position w:val="0"/>
        </w:rPr>
        <w:t>участником контрактов (договоров) за последние 3 года до даты окончания срока подачи заявок на участие в настоящем конкурсе, к оценке принимается исполненный договор (договоры), в том числе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 Оценивается общее количество исполненных участником закупки договоров сопоставимых с предметом контракта на право заключения, которого проводится закупка.</w:t>
      </w:r>
    </w:p>
    <w:p>
      <w:pPr>
        <w:pStyle w:val="Style42"/>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Под работами сопоставимого характера понимается выполнение работ по монтажу (дооснащению, обслуживанию и модернизации), ремонту, соответствующих предмету настоящей закупки.</w:t>
      </w:r>
    </w:p>
    <w:p>
      <w:pPr>
        <w:pStyle w:val="Style42"/>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Сведения о стоимости и количеству исполненных контрактов (договоров) подтверждаются копиями таких контрактов (договоров) с актами приемки, составленными при исполнении таких контрактов (договоров), исполненных участником закупки (с учетом правопреемства, в случае наличия в заявке подтверждающего документа), в том числе, в соответствии с Федеральным законом от 05.04.2013 № 44- ФЗ, в соответствии с Федеральным законом от 18.07.2011 № 223-ФЗ.</w:t>
      </w:r>
    </w:p>
    <w:p>
      <w:pPr>
        <w:pStyle w:val="Style42"/>
        <w:widowControl w:val="0"/>
        <w:keepNext w:val="0"/>
        <w:keepLines w:val="0"/>
        <w:shd w:val="clear" w:color="auto" w:fill="auto"/>
        <w:bidi w:val="0"/>
        <w:spacing w:before="0" w:after="0" w:line="302" w:lineRule="exact"/>
        <w:ind w:left="40" w:right="20" w:firstLine="700"/>
      </w:pPr>
      <w:r>
        <w:rPr>
          <w:lang w:val="ru-RU" w:eastAsia="ru-RU" w:bidi="ru-RU"/>
          <w:sz w:val="24"/>
          <w:szCs w:val="24"/>
          <w:w w:val="100"/>
          <w:spacing w:val="0"/>
          <w:color w:val="000000"/>
          <w:position w:val="0"/>
        </w:rPr>
        <w:t>Для целей оценки фактически выполненных работ будет учитываться стоимость, указанная в актах. Копии указанных документов должны быть представлены в полном объеме и со всеми приложениями.</w:t>
      </w:r>
    </w:p>
    <w:p>
      <w:pPr>
        <w:pStyle w:val="Style42"/>
        <w:widowControl w:val="0"/>
        <w:keepNext w:val="0"/>
        <w:keepLines w:val="0"/>
        <w:shd w:val="clear" w:color="auto" w:fill="auto"/>
        <w:bidi w:val="0"/>
        <w:spacing w:before="0" w:after="0" w:line="302" w:lineRule="exact"/>
        <w:ind w:left="40" w:right="20" w:firstLine="700"/>
      </w:pPr>
      <w:r>
        <w:rPr>
          <w:lang w:val="ru-RU" w:eastAsia="ru-RU" w:bidi="ru-RU"/>
          <w:sz w:val="24"/>
          <w:szCs w:val="24"/>
          <w:w w:val="100"/>
          <w:spacing w:val="0"/>
          <w:color w:val="000000"/>
          <w:position w:val="0"/>
        </w:rPr>
        <w:t>При этом представленные документы должны быть в виде неповторяющихся, полно читаемых копий, на которых видны необходимые сведения, подписи и печати.</w:t>
      </w:r>
    </w:p>
    <w:p>
      <w:pPr>
        <w:pStyle w:val="Style42"/>
        <w:widowControl w:val="0"/>
        <w:keepNext w:val="0"/>
        <w:keepLines w:val="0"/>
        <w:shd w:val="clear" w:color="auto" w:fill="auto"/>
        <w:bidi w:val="0"/>
        <w:spacing w:before="0" w:after="0" w:line="302" w:lineRule="exact"/>
        <w:ind w:left="40" w:right="20" w:firstLine="700"/>
      </w:pPr>
      <w:r>
        <w:rPr>
          <w:lang w:val="ru-RU" w:eastAsia="ru-RU" w:bidi="ru-RU"/>
          <w:sz w:val="24"/>
          <w:szCs w:val="24"/>
          <w:w w:val="100"/>
          <w:spacing w:val="0"/>
          <w:color w:val="000000"/>
          <w:position w:val="0"/>
        </w:rPr>
        <w:t xml:space="preserve">В случае если контракты заключены в электронной форме, общая стоимость исполненных контрактов (договоров) может быть подтверждена размещенными на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«Информацией о заключенном контракте (его изменении)» и «Информацией об исполнении (о расторжении) контракта» при условии предоставления в составе заявки сведений содержащей данные о реестровом номере закупки, номере контракта, дате заключения, предмете, сумме контракта, дате исполнения контракта. 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конкурсе либо информацией, размещенной на сайте Единой информационной системы в сфере закупок</w:t>
      </w:r>
      <w:r>
        <w:rPr>
          <w:lang w:val="en-US" w:eastAsia="en-US" w:bidi="en-US"/>
          <w:sz w:val="24"/>
          <w:szCs w:val="24"/>
          <w:w w:val="100"/>
          <w:spacing w:val="0"/>
          <w:color w:val="000000"/>
          <w:position w:val="0"/>
        </w:rPr>
        <w:t>zakupki.gov.ru.</w:t>
      </w:r>
    </w:p>
    <w:p>
      <w:pPr>
        <w:pStyle w:val="Style42"/>
        <w:widowControl w:val="0"/>
        <w:keepNext w:val="0"/>
        <w:keepLines w:val="0"/>
        <w:shd w:val="clear" w:color="auto" w:fill="auto"/>
        <w:bidi w:val="0"/>
        <w:spacing w:before="0" w:after="0" w:line="302" w:lineRule="exact"/>
        <w:ind w:left="40" w:right="20" w:firstLine="700"/>
      </w:pPr>
      <w:r>
        <w:rPr>
          <w:lang w:val="ru-RU" w:eastAsia="ru-RU" w:bidi="ru-RU"/>
          <w:sz w:val="24"/>
          <w:szCs w:val="24"/>
          <w:w w:val="100"/>
          <w:spacing w:val="0"/>
          <w:color w:val="000000"/>
          <w:position w:val="0"/>
        </w:rPr>
        <w:t>В случае, если участник закупки не представил в составе своей заявки документы (копии документов), подтверждающие сведения о наличии опыта по оказанию услуг /выполнению работ сопоставимого характера и объема за указанный в показателе период, такому участнику по данному показателю будет присвоена оценка в 0 баллов».</w:t>
      </w:r>
    </w:p>
    <w:p>
      <w:pPr>
        <w:pStyle w:val="Style13"/>
        <w:widowControl w:val="0"/>
        <w:keepNext w:val="0"/>
        <w:keepLines w:val="0"/>
        <w:shd w:val="clear" w:color="auto" w:fill="auto"/>
        <w:bidi w:val="0"/>
        <w:jc w:val="both"/>
        <w:spacing w:before="0" w:after="0" w:line="302" w:lineRule="exact"/>
        <w:ind w:left="40" w:right="20" w:firstLine="700"/>
      </w:pPr>
      <w:r>
        <w:rPr>
          <w:lang w:val="ru-RU" w:eastAsia="ru-RU" w:bidi="ru-RU"/>
          <w:w w:val="100"/>
          <w:spacing w:val="0"/>
          <w:color w:val="000000"/>
          <w:position w:val="0"/>
        </w:rPr>
        <w:t>По мнению Заявителя, утвержденный Заказчиком порядок оценки по показателю «Наличие у участников закупки опыта работы, связанного с предметом контракта» является неправомерным, поскольку исходя предмета закупки должны быть применены положения п.31 Положения так как по мнению Заявителя выполняемые работы относятся к работам капитального характера.</w:t>
      </w:r>
    </w:p>
    <w:p>
      <w:pPr>
        <w:pStyle w:val="Style13"/>
        <w:widowControl w:val="0"/>
        <w:keepNext w:val="0"/>
        <w:keepLines w:val="0"/>
        <w:shd w:val="clear" w:color="auto" w:fill="auto"/>
        <w:bidi w:val="0"/>
        <w:jc w:val="both"/>
        <w:spacing w:before="0" w:after="0" w:line="302" w:lineRule="exact"/>
        <w:ind w:left="40" w:right="20" w:firstLine="700"/>
      </w:pPr>
      <w:r>
        <w:rPr>
          <w:lang w:val="ru-RU" w:eastAsia="ru-RU" w:bidi="ru-RU"/>
          <w:w w:val="100"/>
          <w:spacing w:val="0"/>
          <w:color w:val="000000"/>
          <w:position w:val="0"/>
        </w:rPr>
        <w:t>Согласно п.31 Положения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Закона о контрактной системе,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13"/>
        <w:widowControl w:val="0"/>
        <w:keepNext w:val="0"/>
        <w:keepLines w:val="0"/>
        <w:shd w:val="clear" w:color="auto" w:fill="auto"/>
        <w:bidi w:val="0"/>
        <w:jc w:val="both"/>
        <w:spacing w:before="0" w:after="0" w:line="302" w:lineRule="exact"/>
        <w:ind w:left="40" w:right="20" w:firstLine="700"/>
      </w:pPr>
      <w:r>
        <w:rPr>
          <w:lang w:val="ru-RU" w:eastAsia="ru-RU" w:bidi="ru-RU"/>
          <w:w w:val="100"/>
          <w:spacing w:val="0"/>
          <w:color w:val="000000"/>
          <w:position w:val="0"/>
        </w:rPr>
        <w:t>а) критерии оценки, предусмотренные подпунктами "б" и "в" пункта 3 Положения, не применяются;</w:t>
      </w:r>
    </w:p>
    <w:p>
      <w:pPr>
        <w:pStyle w:val="Style13"/>
        <w:widowControl w:val="0"/>
        <w:keepNext w:val="0"/>
        <w:keepLines w:val="0"/>
        <w:shd w:val="clear" w:color="auto" w:fill="auto"/>
        <w:bidi w:val="0"/>
        <w:jc w:val="both"/>
        <w:spacing w:before="0" w:after="0" w:line="302" w:lineRule="exact"/>
        <w:ind w:left="40" w:right="20" w:firstLine="700"/>
      </w:pPr>
      <w:r>
        <w:rPr>
          <w:lang w:val="ru-RU" w:eastAsia="ru-RU" w:bidi="ru-RU"/>
          <w:w w:val="100"/>
          <w:spacing w:val="0"/>
          <w:color w:val="000000"/>
          <w:position w:val="0"/>
        </w:rPr>
        <w:t>б) для оценки заявок по критерию, предусмотренному подпунктом "г" пункта 3 Положения, подлежит обязательному применению исключительно показатель оценки, предусмотренный подпунктом "в" пункта 24 настоящего Положения;</w:t>
      </w:r>
    </w:p>
    <w:p>
      <w:pPr>
        <w:pStyle w:val="Style13"/>
        <w:widowControl w:val="0"/>
        <w:keepNext w:val="0"/>
        <w:keepLines w:val="0"/>
        <w:shd w:val="clear" w:color="auto" w:fill="auto"/>
        <w:bidi w:val="0"/>
        <w:jc w:val="both"/>
        <w:spacing w:before="0" w:after="0" w:line="302" w:lineRule="exact"/>
        <w:ind w:left="40" w:right="20" w:firstLine="700"/>
      </w:pPr>
      <w:r>
        <w:rPr>
          <w:lang w:val="ru-RU" w:eastAsia="ru-RU" w:bidi="ru-RU"/>
          <w:w w:val="100"/>
          <w:spacing w:val="0"/>
          <w:color w:val="000000"/>
          <w:position w:val="0"/>
        </w:rPr>
        <w:t xml:space="preserve">в) документом, предусмотренным приложением </w:t>
      </w:r>
      <w:r>
        <w:rPr>
          <w:lang w:val="en-US" w:eastAsia="en-US" w:bidi="en-US"/>
          <w:w w:val="100"/>
          <w:spacing w:val="0"/>
          <w:color w:val="000000"/>
          <w:position w:val="0"/>
        </w:rPr>
        <w:t xml:space="preserve">N </w:t>
      </w:r>
      <w:r>
        <w:rPr>
          <w:lang w:val="ru-RU" w:eastAsia="ru-RU" w:bidi="ru-RU"/>
          <w:w w:val="100"/>
          <w:spacing w:val="0"/>
          <w:color w:val="000000"/>
          <w:position w:val="0"/>
        </w:rPr>
        <w:t>1 к настоящему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pPr>
        <w:pStyle w:val="Style13"/>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объект капитального строительства (за исключением линейного объекта);</w:t>
      </w:r>
    </w:p>
    <w:p>
      <w:pPr>
        <w:pStyle w:val="Style13"/>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линейный объект, за исключением автомобильной дороги;</w:t>
      </w:r>
    </w:p>
    <w:p>
      <w:pPr>
        <w:pStyle w:val="Style13"/>
        <w:widowControl w:val="0"/>
        <w:keepNext w:val="0"/>
        <w:keepLines w:val="0"/>
        <w:shd w:val="clear" w:color="auto" w:fill="auto"/>
        <w:bidi w:val="0"/>
        <w:jc w:val="both"/>
        <w:spacing w:before="0" w:after="0" w:line="312" w:lineRule="exact"/>
        <w:ind w:left="20" w:right="0" w:firstLine="680"/>
      </w:pPr>
      <w:r>
        <w:rPr>
          <w:lang w:val="ru-RU" w:eastAsia="ru-RU" w:bidi="ru-RU"/>
          <w:w w:val="100"/>
          <w:spacing w:val="0"/>
          <w:color w:val="000000"/>
          <w:position w:val="0"/>
        </w:rPr>
        <w:t>автомобильная дорога;</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особо опасный, технически сложный и уникальный объект капитального строительства;</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объект культурного наследия (памятник истории и культуры) народов Российской Федерации;</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г) документом, предусмотренным приложением № 1 к Положения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контракт, предусмотренный частью 16 статьи 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контракт, предусмотренный частью 16.1 статьи 34 Закона о контрактной системе;</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контракт, предусмотренный частью 56 статьи 112 Закона о контрактной системе;</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д) к оценке принимаются документы, предусмотренные абзацем третьим подпункта "в" пункта 28 Положения, в том числе если к ним не приложена проектная документация (если проектная документация является приложением к таким документам).</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Вместе с тем, Комиссия Управления отмечает, что как установлено ранее Заказчиком не разработана проектно-сметная документация, не установлены требования к участникам закупки, так же техническое задание и сметный расчет не содержат указание на работы затрагивающие конструктивные элементы здания, в связи с чем данные работы не относятся к работам капитального характера.</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При этом в силу ч.4 ст.106 Закона о контрактной системе обязанность доказывания нарушения Заказчиком своих прав и законных интересов лежит на подателе жалобы, однако в ходе заседания Комиссии Управления, а так же в составе жалоб Заявителем не представлено документов и сведений, свидетельствующих о нарушении Заказчиком норм действующего законодательства, а именно, Заявителем не представлено документов и сведений однозначно свидетельствующих о том, что установленный порядок оценки является неправомерным, не позволяет выявить наилучшее предложение условий исполнения контрактов при проведении закупок, оставляет оценку заявок на субъективное усмотрение конкурсной комиссии Заказчика или каким-либо иным образом нарушает требования Закона о контрактной системе,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13"/>
        <w:widowControl w:val="0"/>
        <w:keepNext w:val="0"/>
        <w:keepLines w:val="0"/>
        <w:shd w:val="clear" w:color="auto" w:fill="auto"/>
        <w:bidi w:val="0"/>
        <w:jc w:val="both"/>
        <w:spacing w:before="0" w:after="0" w:line="312" w:lineRule="exact"/>
        <w:ind w:left="0" w:right="20" w:firstLine="720"/>
      </w:pPr>
      <w:r>
        <w:rPr>
          <w:lang w:val="ru-RU" w:eastAsia="ru-RU" w:bidi="ru-RU"/>
          <w:w w:val="100"/>
          <w:spacing w:val="0"/>
          <w:color w:val="000000"/>
          <w:position w:val="0"/>
        </w:rPr>
        <w:t>Таким образом, Комиссия Управления приходит к выводу о том, что указанные доводы жалоб не на</w:t>
      </w:r>
      <w:r>
        <w:rPr>
          <w:rStyle w:val="CharStyle44"/>
        </w:rPr>
        <w:t>шл</w:t>
      </w:r>
      <w:r>
        <w:rPr>
          <w:lang w:val="ru-RU" w:eastAsia="ru-RU" w:bidi="ru-RU"/>
          <w:w w:val="100"/>
          <w:spacing w:val="0"/>
          <w:color w:val="000000"/>
          <w:position w:val="0"/>
        </w:rPr>
        <w:t>и своего подтверждения и являются необоснованными.</w:t>
      </w:r>
    </w:p>
    <w:p>
      <w:pPr>
        <w:pStyle w:val="Style13"/>
        <w:widowControl w:val="0"/>
        <w:keepNext w:val="0"/>
        <w:keepLines w:val="0"/>
        <w:shd w:val="clear" w:color="auto" w:fill="auto"/>
        <w:bidi w:val="0"/>
        <w:jc w:val="both"/>
        <w:spacing w:before="0" w:after="342" w:line="312" w:lineRule="exact"/>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40"/>
        <w:widowControl w:val="0"/>
        <w:keepNext/>
        <w:keepLines/>
        <w:shd w:val="clear" w:color="auto" w:fill="auto"/>
        <w:bidi w:val="0"/>
        <w:spacing w:before="0" w:after="303"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13"/>
        <w:numPr>
          <w:ilvl w:val="0"/>
          <w:numId w:val="9"/>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Признать жалобу ИП Кремешкова А.А. на действия МОСКОВСКАЯ ГОСУДАРСТВЕННАЯ АКАДЕМИЯ ХОРЕОГРАФИИ необоснованной.</w:t>
      </w:r>
    </w:p>
    <w:p>
      <w:pPr>
        <w:pStyle w:val="Style13"/>
        <w:numPr>
          <w:ilvl w:val="0"/>
          <w:numId w:val="9"/>
        </w:numPr>
        <w:widowControl w:val="0"/>
        <w:keepNext w:val="0"/>
        <w:keepLines w:val="0"/>
        <w:shd w:val="clear" w:color="auto" w:fill="auto"/>
        <w:bidi w:val="0"/>
        <w:jc w:val="both"/>
        <w:spacing w:before="0" w:after="300"/>
        <w:ind w:left="0" w:right="2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исх. №ЕИ/39650/22 от 29.07.2022.</w:t>
      </w:r>
    </w:p>
    <w:p>
      <w:pPr>
        <w:pStyle w:val="Style13"/>
        <w:widowControl w:val="0"/>
        <w:keepNext w:val="0"/>
        <w:keepLines w:val="0"/>
        <w:shd w:val="clear" w:color="auto" w:fill="auto"/>
        <w:bidi w:val="0"/>
        <w:jc w:val="both"/>
        <w:spacing w:before="0" w:after="343"/>
        <w:ind w:left="0" w:right="20" w:firstLine="5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13"/>
        <w:tabs>
          <w:tab w:leader="none" w:pos="8640" w:val="right"/>
          <w:tab w:leader="none" w:pos="101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Председательствующий</w:t>
        <w:tab/>
        <w:t>А.А.</w:t>
        <w:tab/>
        <w:t>Кутейников</w:t>
      </w:r>
    </w:p>
    <w:p>
      <w:pPr>
        <w:pStyle w:val="Style13"/>
        <w:tabs>
          <w:tab w:leader="none" w:pos="8885" w:val="right"/>
          <w:tab w:leader="none" w:pos="101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13"/>
        <w:widowControl w:val="0"/>
        <w:keepNext w:val="0"/>
        <w:keepLines w:val="0"/>
        <w:shd w:val="clear" w:color="auto" w:fill="auto"/>
        <w:bidi w:val="0"/>
        <w:jc w:val="right"/>
        <w:spacing w:before="0" w:after="2955" w:line="643" w:lineRule="exact"/>
        <w:ind w:left="0" w:right="20" w:firstLine="0"/>
      </w:pPr>
      <w:r>
        <w:rPr>
          <w:lang w:val="ru-RU" w:eastAsia="ru-RU" w:bidi="ru-RU"/>
          <w:w w:val="100"/>
          <w:spacing w:val="0"/>
          <w:color w:val="000000"/>
          <w:position w:val="0"/>
        </w:rPr>
        <w:t>Н.А. Узкий</w:t>
      </w:r>
    </w:p>
    <w:p>
      <w:pPr>
        <w:pStyle w:val="Style45"/>
        <w:widowControl w:val="0"/>
        <w:keepNext w:val="0"/>
        <w:keepLines w:val="0"/>
        <w:shd w:val="clear" w:color="auto" w:fill="auto"/>
        <w:bidi w:val="0"/>
        <w:jc w:val="left"/>
        <w:spacing w:before="0" w:after="0"/>
        <w:ind w:left="0" w:right="8200" w:firstLine="0"/>
      </w:pPr>
      <w:r>
        <w:rPr>
          <w:lang w:val="ru-RU" w:eastAsia="ru-RU" w:bidi="ru-RU"/>
          <w:w w:val="100"/>
          <w:spacing w:val="0"/>
          <w:color w:val="000000"/>
          <w:position w:val="0"/>
        </w:rPr>
        <w:t>Исп.Кутейников А.А. тел.8(495)784-75-05</w:t>
      </w:r>
    </w:p>
    <w:sectPr>
      <w:pgSz w:w="11909" w:h="16838"/>
      <w:pgMar w:top="1247" w:left="847" w:right="823" w:bottom="1175"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4.05pt;margin-top:797.05pt;width:56.9pt;height:7.9pt;z-index:-188744063;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2022-44499</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95pt;margin-top:806.pt;width:57.1pt;height:7.9pt;z-index:-188744062;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2022-44499</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6.05pt;margin-top:37.65pt;width:5.3pt;height:7.9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_"/>
    <w:basedOn w:val="DefaultParagraphFont"/>
    <w:link w:val="Style3"/>
    <w:rPr>
      <w:b w:val="0"/>
      <w:bCs w:val="0"/>
      <w:i w:val="0"/>
      <w:iCs w:val="0"/>
      <w:u w:val="none"/>
      <w:strike w:val="0"/>
      <w:smallCaps w:val="0"/>
      <w:sz w:val="12"/>
      <w:szCs w:val="12"/>
      <w:w w:val="200"/>
    </w:rPr>
  </w:style>
  <w:style w:type="character" w:customStyle="1" w:styleId="CharStyle5">
    <w:name w:val="Подпись к картинке"/>
    <w:basedOn w:val="CharStyle4"/>
    <w:rPr>
      <w:lang w:val="ru-RU" w:eastAsia="ru-RU" w:bidi="ru-RU"/>
      <w:rFonts w:ascii="Courier New" w:eastAsia="Courier New" w:hAnsi="Courier New" w:cs="Courier New"/>
      <w:spacing w:val="0"/>
      <w:color w:val="000000"/>
      <w:position w:val="0"/>
    </w:rPr>
  </w:style>
  <w:style w:type="character" w:customStyle="1" w:styleId="CharStyle7">
    <w:name w:val="Колонтитул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Колонтитул"/>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2">
    <w:name w:val="Основной текст (2)"/>
    <w:basedOn w:val="CharStyle10"/>
    <w:rPr>
      <w:lang w:val="ru-RU" w:eastAsia="ru-RU" w:bidi="ru-RU"/>
      <w:u w:val="single"/>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6">
    <w:name w:val="Основной текст (2) Exact"/>
    <w:basedOn w:val="CharStyle10"/>
    <w:rPr>
      <w:lang w:val="ru-RU" w:eastAsia="ru-RU" w:bidi="ru-RU"/>
      <w:sz w:val="17"/>
      <w:szCs w:val="17"/>
      <w:w w:val="100"/>
      <w:spacing w:val="2"/>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18"/>
      <w:szCs w:val="18"/>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0">
    <w:name w:val="Основной текст (3)"/>
    <w:basedOn w:val="CharStyle18"/>
    <w:rPr>
      <w:lang w:val="en-US" w:eastAsia="en-US" w:bidi="en-US"/>
      <w:u w:val="single"/>
      <w:w w:val="100"/>
      <w:spacing w:val="0"/>
      <w:color w:val="000000"/>
      <w:position w:val="0"/>
    </w:rPr>
  </w:style>
  <w:style w:type="character" w:customStyle="1" w:styleId="CharStyle22">
    <w:name w:val="Основной текст (4)_"/>
    <w:basedOn w:val="DefaultParagraphFont"/>
    <w:link w:val="Style21"/>
    <w:rPr>
      <w:b w:val="0"/>
      <w:bCs w:val="0"/>
      <w:i w:val="0"/>
      <w:iCs w:val="0"/>
      <w:u w:val="none"/>
      <w:strike w:val="0"/>
      <w:smallCaps w:val="0"/>
      <w:sz w:val="17"/>
      <w:szCs w:val="17"/>
      <w:rFonts w:ascii="Segoe UI" w:eastAsia="Segoe UI" w:hAnsi="Segoe UI" w:cs="Segoe UI"/>
    </w:rPr>
  </w:style>
  <w:style w:type="character" w:customStyle="1" w:styleId="CharStyle23">
    <w:name w:val="Основной текст (4)"/>
    <w:basedOn w:val="CharStyle22"/>
    <w:rPr>
      <w:lang w:val="ru-RU" w:eastAsia="ru-RU" w:bidi="ru-RU"/>
      <w:w w:val="100"/>
      <w:spacing w:val="0"/>
      <w:color w:val="000000"/>
      <w:position w:val="0"/>
    </w:rPr>
  </w:style>
  <w:style w:type="character" w:customStyle="1" w:styleId="CharStyle24">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25">
    <w:name w:val="Основной текст (3) Exact"/>
    <w:basedOn w:val="CharStyle18"/>
    <w:rPr>
      <w:lang w:val="ru-RU" w:eastAsia="ru-RU" w:bidi="ru-RU"/>
      <w:sz w:val="16"/>
      <w:szCs w:val="16"/>
      <w:w w:val="100"/>
      <w:spacing w:val="3"/>
      <w:color w:val="000000"/>
      <w:position w:val="0"/>
    </w:rPr>
  </w:style>
  <w:style w:type="character" w:customStyle="1" w:styleId="CharStyle27">
    <w:name w:val="Основной текст (5)_"/>
    <w:basedOn w:val="DefaultParagraphFont"/>
    <w:link w:val="Style26"/>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8">
    <w:name w:val="Основной текст (5)"/>
    <w:basedOn w:val="CharStyle27"/>
    <w:rPr>
      <w:lang w:val="ru-RU" w:eastAsia="ru-RU" w:bidi="ru-RU"/>
      <w:w w:val="100"/>
      <w:color w:val="000000"/>
      <w:position w:val="0"/>
    </w:rPr>
  </w:style>
  <w:style w:type="character" w:customStyle="1" w:styleId="CharStyle30">
    <w:name w:val="Основной текст (8) Exact"/>
    <w:basedOn w:val="DefaultParagraphFont"/>
    <w:link w:val="Style29"/>
    <w:rPr>
      <w:b/>
      <w:bCs/>
      <w:i w:val="0"/>
      <w:iCs w:val="0"/>
      <w:u w:val="none"/>
      <w:strike w:val="0"/>
      <w:smallCaps w:val="0"/>
      <w:sz w:val="42"/>
      <w:szCs w:val="42"/>
    </w:rPr>
  </w:style>
  <w:style w:type="character" w:customStyle="1" w:styleId="CharStyle31">
    <w:name w:val="Основной текст (8) Exact"/>
    <w:basedOn w:val="CharStyle30"/>
    <w:rPr>
      <w:lang w:val="ru-RU" w:eastAsia="ru-RU" w:bidi="ru-RU"/>
      <w:rFonts w:ascii="Courier New" w:eastAsia="Courier New" w:hAnsi="Courier New" w:cs="Courier New"/>
      <w:w w:val="100"/>
      <w:spacing w:val="0"/>
      <w:color w:val="000000"/>
      <w:position w:val="0"/>
    </w:rPr>
  </w:style>
  <w:style w:type="character" w:customStyle="1" w:styleId="CharStyle33">
    <w:name w:val="Основной текст (6)_"/>
    <w:basedOn w:val="DefaultParagraphFont"/>
    <w:link w:val="Style32"/>
    <w:rPr>
      <w:b w:val="0"/>
      <w:bCs w:val="0"/>
      <w:i w:val="0"/>
      <w:iCs w:val="0"/>
      <w:u w:val="none"/>
      <w:strike w:val="0"/>
      <w:smallCaps w:val="0"/>
      <w:sz w:val="54"/>
      <w:szCs w:val="54"/>
      <w:rFonts w:ascii="Times New Roman" w:eastAsia="Times New Roman" w:hAnsi="Times New Roman" w:cs="Times New Roman"/>
    </w:rPr>
  </w:style>
  <w:style w:type="character" w:customStyle="1" w:styleId="CharStyle34">
    <w:name w:val="Основной текст (6)"/>
    <w:basedOn w:val="CharStyle33"/>
    <w:rPr>
      <w:lang w:val="ru-RU" w:eastAsia="ru-RU" w:bidi="ru-RU"/>
      <w:w w:val="100"/>
      <w:spacing w:val="0"/>
      <w:color w:val="000000"/>
      <w:position w:val="0"/>
    </w:rPr>
  </w:style>
  <w:style w:type="character" w:customStyle="1" w:styleId="CharStyle36">
    <w:name w:val="Основной текст (7)_"/>
    <w:basedOn w:val="DefaultParagraphFont"/>
    <w:link w:val="Style35"/>
    <w:rPr>
      <w:b/>
      <w:bCs/>
      <w:i w:val="0"/>
      <w:iCs w:val="0"/>
      <w:u w:val="none"/>
      <w:strike w:val="0"/>
      <w:smallCaps w:val="0"/>
      <w:sz w:val="26"/>
      <w:szCs w:val="26"/>
      <w:rFonts w:ascii="Times New Roman" w:eastAsia="Times New Roman" w:hAnsi="Times New Roman" w:cs="Times New Roman"/>
    </w:rPr>
  </w:style>
  <w:style w:type="character" w:customStyle="1" w:styleId="CharStyle37">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9">
    <w:name w:val="Штрих-код (2)_"/>
    <w:basedOn w:val="DefaultParagraphFont"/>
    <w:link w:val="Style3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41">
    <w:name w:val="Заголовок №1_"/>
    <w:basedOn w:val="DefaultParagraphFont"/>
    <w:link w:val="Style40"/>
    <w:rPr>
      <w:b/>
      <w:bCs/>
      <w:i w:val="0"/>
      <w:iCs w:val="0"/>
      <w:u w:val="none"/>
      <w:strike w:val="0"/>
      <w:smallCaps w:val="0"/>
      <w:sz w:val="26"/>
      <w:szCs w:val="26"/>
      <w:rFonts w:ascii="Times New Roman" w:eastAsia="Times New Roman" w:hAnsi="Times New Roman" w:cs="Times New Roman"/>
    </w:rPr>
  </w:style>
  <w:style w:type="character" w:customStyle="1" w:styleId="CharStyle43">
    <w:name w:val="Основной текст (9)_"/>
    <w:basedOn w:val="DefaultParagraphFont"/>
    <w:link w:val="Style42"/>
    <w:rPr>
      <w:b w:val="0"/>
      <w:bCs w:val="0"/>
      <w:i/>
      <w:iCs/>
      <w:u w:val="none"/>
      <w:strike w:val="0"/>
      <w:smallCaps w:val="0"/>
      <w:rFonts w:ascii="Times New Roman" w:eastAsia="Times New Roman" w:hAnsi="Times New Roman" w:cs="Times New Roman"/>
    </w:rPr>
  </w:style>
  <w:style w:type="character" w:customStyle="1" w:styleId="CharStyle44">
    <w:name w:val="Основной текст"/>
    <w:basedOn w:val="CharStyle14"/>
    <w:rPr>
      <w:lang w:val="ru-RU" w:eastAsia="ru-RU" w:bidi="ru-RU"/>
      <w:u w:val="single"/>
      <w:w w:val="100"/>
      <w:spacing w:val="0"/>
      <w:color w:val="000000"/>
      <w:position w:val="0"/>
    </w:rPr>
  </w:style>
  <w:style w:type="character" w:customStyle="1" w:styleId="CharStyle46">
    <w:name w:val="Основной текст (10)_"/>
    <w:basedOn w:val="DefaultParagraphFont"/>
    <w:link w:val="Style45"/>
    <w:rPr>
      <w:b/>
      <w:bCs/>
      <w:i w:val="0"/>
      <w:iCs w:val="0"/>
      <w:u w:val="none"/>
      <w:strike w:val="0"/>
      <w:smallCaps w:val="0"/>
      <w:sz w:val="20"/>
      <w:szCs w:val="20"/>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spacing w:line="0" w:lineRule="exact"/>
    </w:pPr>
    <w:rPr>
      <w:b w:val="0"/>
      <w:bCs w:val="0"/>
      <w:i w:val="0"/>
      <w:iCs w:val="0"/>
      <w:u w:val="none"/>
      <w:strike w:val="0"/>
      <w:smallCaps w:val="0"/>
      <w:sz w:val="12"/>
      <w:szCs w:val="12"/>
      <w:w w:val="200"/>
    </w:rPr>
  </w:style>
  <w:style w:type="paragraph" w:customStyle="1" w:styleId="Style6">
    <w:name w:val="Колонтитул"/>
    <w:basedOn w:val="Normal"/>
    <w:link w:val="CharStyle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after="12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1">
    <w:name w:val="Основной текст (4)"/>
    <w:basedOn w:val="Normal"/>
    <w:link w:val="CharStyle22"/>
    <w:pPr>
      <w:widowControl w:val="0"/>
      <w:shd w:val="clear" w:color="auto" w:fill="FFFFFF"/>
      <w:jc w:val="center"/>
      <w:spacing w:before="240" w:line="0" w:lineRule="exact"/>
    </w:pPr>
    <w:rPr>
      <w:b w:val="0"/>
      <w:bCs w:val="0"/>
      <w:i w:val="0"/>
      <w:iCs w:val="0"/>
      <w:u w:val="none"/>
      <w:strike w:val="0"/>
      <w:smallCaps w:val="0"/>
      <w:sz w:val="17"/>
      <w:szCs w:val="17"/>
      <w:rFonts w:ascii="Segoe UI" w:eastAsia="Segoe UI" w:hAnsi="Segoe UI" w:cs="Segoe UI"/>
    </w:rPr>
  </w:style>
  <w:style w:type="paragraph" w:customStyle="1" w:styleId="Style26">
    <w:name w:val="Основной текст (5)"/>
    <w:basedOn w:val="Normal"/>
    <w:link w:val="CharStyle27"/>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29">
    <w:name w:val="Основной текст (8)"/>
    <w:basedOn w:val="Normal"/>
    <w:link w:val="CharStyle30"/>
    <w:pPr>
      <w:widowControl w:val="0"/>
      <w:shd w:val="clear" w:color="auto" w:fill="FFFFFF"/>
      <w:spacing w:line="0" w:lineRule="exact"/>
    </w:pPr>
    <w:rPr>
      <w:b/>
      <w:bCs/>
      <w:i w:val="0"/>
      <w:iCs w:val="0"/>
      <w:u w:val="none"/>
      <w:strike w:val="0"/>
      <w:smallCaps w:val="0"/>
      <w:sz w:val="42"/>
      <w:szCs w:val="42"/>
    </w:rPr>
  </w:style>
  <w:style w:type="paragraph" w:customStyle="1" w:styleId="Style32">
    <w:name w:val="Основной текст (6)"/>
    <w:basedOn w:val="Normal"/>
    <w:link w:val="CharStyle33"/>
    <w:pPr>
      <w:widowControl w:val="0"/>
      <w:shd w:val="clear" w:color="auto" w:fill="FFFFFF"/>
      <w:spacing w:after="78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35">
    <w:name w:val="Основной текст (7)"/>
    <w:basedOn w:val="Normal"/>
    <w:link w:val="CharStyle36"/>
    <w:pPr>
      <w:widowControl w:val="0"/>
      <w:shd w:val="clear" w:color="auto" w:fill="FFFFFF"/>
      <w:jc w:val="center"/>
      <w:spacing w:before="7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8">
    <w:name w:val="Штрих-код (2)"/>
    <w:basedOn w:val="Normal"/>
    <w:link w:val="CharStyle3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40">
    <w:name w:val="Заголовок №1"/>
    <w:basedOn w:val="Normal"/>
    <w:link w:val="CharStyle4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2">
    <w:name w:val="Основной текст (9)"/>
    <w:basedOn w:val="Normal"/>
    <w:link w:val="CharStyle43"/>
    <w:pPr>
      <w:widowControl w:val="0"/>
      <w:shd w:val="clear" w:color="auto" w:fill="FFFFFF"/>
      <w:jc w:val="both"/>
      <w:spacing w:line="298" w:lineRule="exact"/>
    </w:pPr>
    <w:rPr>
      <w:b w:val="0"/>
      <w:bCs w:val="0"/>
      <w:i/>
      <w:iCs/>
      <w:u w:val="none"/>
      <w:strike w:val="0"/>
      <w:smallCaps w:val="0"/>
      <w:rFonts w:ascii="Times New Roman" w:eastAsia="Times New Roman" w:hAnsi="Times New Roman" w:cs="Times New Roman"/>
    </w:rPr>
  </w:style>
  <w:style w:type="paragraph" w:customStyle="1" w:styleId="Style45">
    <w:name w:val="Основной текст (10)"/>
    <w:basedOn w:val="Normal"/>
    <w:link w:val="CharStyle46"/>
    <w:pPr>
      <w:widowControl w:val="0"/>
      <w:shd w:val="clear" w:color="auto" w:fill="FFFFFF"/>
      <w:spacing w:before="264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