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2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6pt;">
            <v:imagedata r:id="rId5" r:href="rId6"/>
          </v:shape>
        </w:pict>
      </w:r>
    </w:p>
    <w:p>
      <w:pPr>
        <w:widowControl w:val="0"/>
        <w:rPr>
          <w:sz w:val="2"/>
          <w:szCs w:val="2"/>
        </w:rPr>
      </w:pPr>
    </w:p>
    <w:p>
      <w:pPr>
        <w:widowControl w:val="0"/>
        <w:rPr>
          <w:sz w:val="2"/>
          <w:szCs w:val="2"/>
        </w:rPr>
        <w:sectPr>
          <w:headerReference w:type="default" r:id="rId7"/>
          <w:titlePg/>
          <w:footnotePr>
            <w:pos w:val="pageBottom"/>
            <w:numFmt w:val="decimal"/>
            <w:numRestart w:val="continuous"/>
          </w:footnotePr>
          <w:type w:val="continuous"/>
          <w:pgSz w:w="11909" w:h="16838"/>
          <w:pgMar w:top="276" w:left="3055" w:right="7879" w:bottom="305" w:header="0" w:footer="3" w:gutter="0"/>
          <w:rtlGutter w:val="0"/>
          <w:cols w:space="720"/>
          <w:noEndnote/>
          <w:docGrid w:linePitch="360"/>
        </w:sectPr>
      </w:pPr>
    </w:p>
    <w:p>
      <w:pPr>
        <w:widowControl w:val="0"/>
        <w:spacing w:before="15" w:after="1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209"/>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5"/>
        <w:widowControl w:val="0"/>
        <w:keepNext w:val="0"/>
        <w:keepLines w:val="0"/>
        <w:shd w:val="clear" w:color="auto" w:fill="auto"/>
        <w:bidi w:val="0"/>
        <w:spacing w:before="0" w:after="474"/>
        <w:ind w:left="0" w:right="0" w:firstLine="0"/>
      </w:pPr>
      <w:r>
        <w:rPr>
          <w:lang w:val="ru-RU" w:eastAsia="ru-RU" w:bidi="ru-RU"/>
          <w:w w:val="100"/>
          <w:spacing w:val="0"/>
          <w:color w:val="000000"/>
          <w:position w:val="0"/>
        </w:rPr>
        <w:t xml:space="preserve">ул. Лермонтова </w:t>
      </w:r>
      <w:r>
        <w:rPr>
          <w:rStyle w:val="CharStyle7"/>
        </w:rPr>
        <w:t>,14,</w:t>
      </w:r>
      <w:r>
        <w:rPr>
          <w:lang w:val="ru-RU" w:eastAsia="ru-RU" w:bidi="ru-RU"/>
          <w:w w:val="100"/>
          <w:spacing w:val="0"/>
          <w:color w:val="000000"/>
          <w:position w:val="0"/>
        </w:rPr>
        <w:t xml:space="preserve">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5"/>
        <w:tabs>
          <w:tab w:leader="none" w:pos="2561" w:val="center"/>
        </w:tabs>
        <w:widowControl w:val="0"/>
        <w:keepNext w:val="0"/>
        <w:keepLines w:val="0"/>
        <w:shd w:val="clear" w:color="auto" w:fill="auto"/>
        <w:bidi w:val="0"/>
        <w:jc w:val="both"/>
        <w:spacing w:before="0" w:after="0" w:line="170" w:lineRule="exact"/>
        <w:ind w:left="70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spacing w:before="0" w:after="6" w:line="220" w:lineRule="exact"/>
        <w:ind w:left="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ИП Меркулов Виктор Иванович</w:t>
      </w:r>
    </w:p>
    <w:p>
      <w:pPr>
        <w:pStyle w:val="Style8"/>
        <w:widowControl w:val="0"/>
        <w:keepNext w:val="0"/>
        <w:keepLines w:val="0"/>
        <w:shd w:val="clear" w:color="auto" w:fill="auto"/>
        <w:bidi w:val="0"/>
        <w:spacing w:before="0" w:after="237"/>
        <w:ind w:left="0" w:right="0" w:firstLine="0"/>
      </w:pPr>
      <w:r>
        <w:rPr>
          <w:lang w:val="ru-RU" w:eastAsia="ru-RU" w:bidi="ru-RU"/>
          <w:w w:val="100"/>
          <w:spacing w:val="0"/>
          <w:color w:val="000000"/>
          <w:position w:val="0"/>
        </w:rPr>
        <w:t xml:space="preserve">413063, Российская Федерация, Саратовская обл., Энгельсский р-н, с. Усть-Караман, ул. Кооперативная, д.5. </w:t>
      </w:r>
      <w:r>
        <w:fldChar w:fldCharType="begin"/>
      </w:r>
      <w:r>
        <w:rPr>
          <w:color w:val="000000"/>
        </w:rPr>
        <w:instrText> HYPERLINK "mailto:merkulovl967@intemet.ru" </w:instrText>
      </w:r>
      <w:r>
        <w:fldChar w:fldCharType="separate"/>
      </w:r>
      <w:r>
        <w:rPr>
          <w:rStyle w:val="Hyperlink"/>
          <w:lang w:val="en-US" w:eastAsia="en-US" w:bidi="en-US"/>
          <w:w w:val="100"/>
          <w:spacing w:val="0"/>
          <w:position w:val="0"/>
        </w:rPr>
        <w:t>merkulovl967@intemet.ru</w:t>
      </w:r>
      <w:r>
        <w:fldChar w:fldCharType="end"/>
      </w:r>
    </w:p>
    <w:p>
      <w:pPr>
        <w:pStyle w:val="Style3"/>
        <w:widowControl w:val="0"/>
        <w:keepNext w:val="0"/>
        <w:keepLines w:val="0"/>
        <w:shd w:val="clear" w:color="auto" w:fill="auto"/>
        <w:bidi w:val="0"/>
        <w:spacing w:before="0" w:after="0" w:line="281" w:lineRule="exact"/>
        <w:ind w:left="0" w:right="0" w:firstLine="0"/>
      </w:pPr>
      <w:r>
        <w:rPr>
          <w:lang w:val="ru-RU" w:eastAsia="ru-RU" w:bidi="ru-RU"/>
          <w:w w:val="100"/>
          <w:spacing w:val="0"/>
          <w:color w:val="000000"/>
          <w:position w:val="0"/>
        </w:rPr>
        <w:t>Заказчик: Минобразования Забайкальского края</w:t>
      </w:r>
    </w:p>
    <w:p>
      <w:pPr>
        <w:pStyle w:val="Style8"/>
        <w:widowControl w:val="0"/>
        <w:keepNext w:val="0"/>
        <w:keepLines w:val="0"/>
        <w:shd w:val="clear" w:color="auto" w:fill="auto"/>
        <w:bidi w:val="0"/>
        <w:spacing w:before="0" w:after="0" w:line="274" w:lineRule="exact"/>
        <w:ind w:left="0" w:right="0" w:firstLine="0"/>
        <w:sectPr>
          <w:type w:val="continuous"/>
          <w:pgSz w:w="11909" w:h="16838"/>
          <w:pgMar w:top="306" w:left="1147" w:right="1273" w:bottom="335" w:header="0" w:footer="3" w:gutter="0"/>
          <w:rtlGutter w:val="0"/>
          <w:cols w:num="2" w:space="331"/>
          <w:noEndnote/>
          <w:docGrid w:linePitch="360"/>
        </w:sectPr>
      </w:pPr>
      <w:r>
        <w:rPr>
          <w:lang w:val="ru-RU" w:eastAsia="ru-RU" w:bidi="ru-RU"/>
          <w:w w:val="100"/>
          <w:spacing w:val="0"/>
          <w:color w:val="000000"/>
          <w:position w:val="0"/>
        </w:rPr>
        <w:t xml:space="preserve">672000, Забайкальский край, Чита г, ул. Амурская, д. 106 </w:t>
      </w:r>
      <w:r>
        <w:fldChar w:fldCharType="begin"/>
      </w:r>
      <w:r>
        <w:rPr>
          <w:color w:val="000000"/>
        </w:rPr>
        <w:instrText> HYPERLINK "mailto:zakupki@minobr.e-zab.ru" </w:instrText>
      </w:r>
      <w:r>
        <w:fldChar w:fldCharType="separate"/>
      </w:r>
      <w:r>
        <w:rPr>
          <w:rStyle w:val="Hyperlink"/>
          <w:lang w:val="en-US" w:eastAsia="en-US" w:bidi="en-US"/>
          <w:w w:val="100"/>
          <w:spacing w:val="0"/>
          <w:position w:val="0"/>
        </w:rPr>
        <w:t>zakupki@minobr.e-zab.ru</w:t>
      </w:r>
      <w:r>
        <w:fldChar w:fldCharType="end"/>
      </w:r>
    </w:p>
    <w:p>
      <w:pPr>
        <w:widowControl w:val="0"/>
        <w:spacing w:before="22" w:after="2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ind w:left="6020" w:right="1120"/>
      </w:pPr>
      <w:r>
        <w:rPr>
          <w:lang w:val="ru-RU" w:eastAsia="ru-RU" w:bidi="ru-RU"/>
          <w:w w:val="100"/>
          <w:spacing w:val="0"/>
          <w:color w:val="000000"/>
          <w:position w:val="0"/>
        </w:rPr>
        <w:t>Уполномоченное учреждение: ГКУ «Забайкальский центр государственных закупок»</w:t>
      </w:r>
    </w:p>
    <w:p>
      <w:pPr>
        <w:pStyle w:val="Style8"/>
        <w:widowControl w:val="0"/>
        <w:keepNext w:val="0"/>
        <w:keepLines w:val="0"/>
        <w:shd w:val="clear" w:color="auto" w:fill="auto"/>
        <w:bidi w:val="0"/>
        <w:spacing w:before="0" w:after="477" w:line="274" w:lineRule="exact"/>
        <w:ind w:left="0" w:right="960" w:firstLine="0"/>
      </w:pPr>
      <w:r>
        <w:rPr>
          <w:lang w:val="ru-RU" w:eastAsia="ru-RU" w:bidi="ru-RU"/>
          <w:w w:val="100"/>
          <w:spacing w:val="0"/>
          <w:color w:val="000000"/>
          <w:position w:val="0"/>
        </w:rPr>
        <w:t xml:space="preserve">Амурская ул., д. 13, г. Чита, 672010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zabgoszakup@goszak.e-zab.ru</w:t>
      </w:r>
      <w:r>
        <w:fldChar w:fldCharType="end"/>
      </w:r>
    </w:p>
    <w:p>
      <w:pPr>
        <w:pStyle w:val="Style3"/>
        <w:widowControl w:val="0"/>
        <w:keepNext w:val="0"/>
        <w:keepLines w:val="0"/>
        <w:shd w:val="clear" w:color="auto" w:fill="auto"/>
        <w:bidi w:val="0"/>
        <w:spacing w:before="0" w:after="0" w:line="277" w:lineRule="exact"/>
        <w:ind w:left="0" w:right="720" w:firstLine="0"/>
      </w:pPr>
      <w:r>
        <w:rPr>
          <w:lang w:val="ru-RU" w:eastAsia="ru-RU" w:bidi="ru-RU"/>
          <w:w w:val="100"/>
          <w:spacing w:val="0"/>
          <w:color w:val="000000"/>
          <w:position w:val="0"/>
        </w:rPr>
        <w:t>РЕШЕНИЕ</w:t>
      </w:r>
    </w:p>
    <w:p>
      <w:pPr>
        <w:pStyle w:val="Style3"/>
        <w:widowControl w:val="0"/>
        <w:keepNext w:val="0"/>
        <w:keepLines w:val="0"/>
        <w:shd w:val="clear" w:color="auto" w:fill="auto"/>
        <w:bidi w:val="0"/>
        <w:spacing w:before="0" w:after="286" w:line="277" w:lineRule="exact"/>
        <w:ind w:left="0" w:right="720" w:firstLine="0"/>
      </w:pPr>
      <w:r>
        <w:rPr>
          <w:lang w:val="ru-RU" w:eastAsia="ru-RU" w:bidi="ru-RU"/>
          <w:w w:val="100"/>
          <w:spacing w:val="0"/>
          <w:color w:val="000000"/>
          <w:position w:val="0"/>
        </w:rPr>
        <w:t>по рассмотрению жалобы № 075/06/105-209/2022 о нарушении законодательства при осуществлении закупки</w:t>
      </w:r>
    </w:p>
    <w:p>
      <w:pPr>
        <w:pStyle w:val="Style8"/>
        <w:tabs>
          <w:tab w:leader="none" w:pos="7208" w:val="left"/>
        </w:tabs>
        <w:widowControl w:val="0"/>
        <w:keepNext w:val="0"/>
        <w:keepLines w:val="0"/>
        <w:shd w:val="clear" w:color="auto" w:fill="auto"/>
        <w:bidi w:val="0"/>
        <w:jc w:val="both"/>
        <w:spacing w:before="0" w:after="210" w:line="220" w:lineRule="exact"/>
        <w:ind w:left="300" w:right="0" w:firstLine="0"/>
      </w:pPr>
      <w:r>
        <w:rPr>
          <w:lang w:val="ru-RU" w:eastAsia="ru-RU" w:bidi="ru-RU"/>
          <w:w w:val="100"/>
          <w:spacing w:val="0"/>
          <w:color w:val="000000"/>
          <w:position w:val="0"/>
        </w:rPr>
        <w:t>04 августа 2022 года</w:t>
        <w:tab/>
        <w:t>г. Чита, ул. Лермонтова, 14</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врио председателя комиссии Горбуновой А.В. врио руководителя Забайкальского УФАС России, членов комиссии: Китаевой И.С. главного специалиста-эксперта отдела контроля закупок Забайкальского УФАС России, ведущего специалиста-эксперта этого же отдела,</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рассмотрев жалобу ИП Меркулова В.И.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государственным заказчиком - Минобразования Забайкальского края, уполномоченным учреждением - ГКУ «Забайкальский центр государственных закупок» при проведении электронного аукциона на оказание услуг по оздоровлению детей, проживающих на территории Забайкальского края, в санаторно-оздоровительных лагерях круглогодичного действия (00006233- ОК)» (реестровый № 0891200000622005759),</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присутствии посредством ВКС представителя заказчика - Лелекова А.М. (доверенность от 02.08.2022), представителя уполномоченного учреждения - Шульги Я.О. (доверенность от</w:t>
      </w:r>
    </w:p>
    <w:p>
      <w:pPr>
        <w:pStyle w:val="Style8"/>
        <w:numPr>
          <w:ilvl w:val="0"/>
          <w:numId w:val="1"/>
        </w:numPr>
        <w:tabs>
          <w:tab w:leader="none" w:pos="1226"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№5),</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отсутствие представителя заявителя (о времени и месте рассмотрения жалобы уведомлены надлежащим образом),</w:t>
      </w:r>
    </w:p>
    <w:p>
      <w:pPr>
        <w:pStyle w:val="Style3"/>
        <w:widowControl w:val="0"/>
        <w:keepNext w:val="0"/>
        <w:keepLines w:val="0"/>
        <w:shd w:val="clear" w:color="auto" w:fill="auto"/>
        <w:bidi w:val="0"/>
        <w:spacing w:before="0" w:after="240"/>
        <w:ind w:left="0" w:right="72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адрес Забайкальского УФАС России поступила жалоба ИП Меркулова В.И. на нарушение требований Закона о контрактной системе при проведении закупки № 0891200000622005759.</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Заявителя, Заказчиком при формировании извещения об осуществления закупки заказчиком нарушены требования Закона о контрактной системе.</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Заказчиком, уполномоченным учреждением направлены письменные пояснения, считают жалобу необоснованной.</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закупки № 0891200000622005759 , в ходе которой установлено следующее.</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13.07.2022 уполномоченным учреждением ГКУ «Забайкальский центр государственных закупок» в интересах государственного заказчика Министерства образования Забайкальского края на официальном сайте ЕИС размещены извещение и электронные документы о проведении электронного аукциона на оказание услуг по оздоровлению детей, проживающих на территории Забайкальского края, в санаторно-оздоровительных лагерях круглогодичного действия (00006233- ОК)» (реестровый № 0891200000622005759).</w:t>
      </w:r>
    </w:p>
    <w:p>
      <w:pPr>
        <w:pStyle w:val="Style8"/>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контракта 7931700,00 рублей.</w:t>
      </w:r>
    </w:p>
    <w:p>
      <w:pPr>
        <w:pStyle w:val="Style8"/>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Согласно протоколу подведения итогов от 27.07.2022 на участие в закупке подана 1 заявка.</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Рассмотрев представленные документы, заслушав пояснения сторон, Комиссия Управления приходит к следующим выводам.</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Довод заявителя, что Заказчиком при формировании извещения об осуществления закупки нарушены положения статьи 31 Закона о контрактной системе, поскольку не установлены дополнительные требования, предусмотренные Указом Президента РФ от</w:t>
      </w:r>
    </w:p>
    <w:p>
      <w:pPr>
        <w:pStyle w:val="Style3"/>
        <w:numPr>
          <w:ilvl w:val="0"/>
          <w:numId w:val="3"/>
        </w:numPr>
        <w:tabs>
          <w:tab w:leader="none" w:pos="1248"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(далее - Указ Президента №252) является необоснованным ввиду следующего.</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пункта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закона (при наличии такого требования).</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пункту 1 Указа Президента №252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 организациям и 2022-38376 3 физическим лицам, находящимся под юрисдикцией Российской Федерации, в своей деятельности исходить из того, что со дня вступления в силу настоящего Указа в отношении отдельных юридических лиц, физических лиц и находящихся под их контролем организаций применяются специальные экономические меры.</w:t>
      </w:r>
    </w:p>
    <w:p>
      <w:pPr>
        <w:pStyle w:val="Style8"/>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Пунктом 2 Указа президента №252 установлены следующие специальные экономические</w:t>
      </w:r>
    </w:p>
    <w:p>
      <w:pPr>
        <w:pStyle w:val="Style8"/>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меры:</w:t>
      </w:r>
    </w:p>
    <w:p>
      <w:pPr>
        <w:pStyle w:val="Style8"/>
        <w:tabs>
          <w:tab w:leader="none" w:pos="103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w:t>
        <w:tab/>
        <w:t>запрет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 организациями физическим лицам, находящимся под юрисдикцией Российской Федерации:</w:t>
      </w:r>
    </w:p>
    <w:p>
      <w:pPr>
        <w:pStyle w:val="Style8"/>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совершать сделки (в том числе заключать внешнеторговые контракты) 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 (далее - лица, находящиеся под санкциями);</w:t>
      </w:r>
    </w:p>
    <w:p>
      <w:pPr>
        <w:pStyle w:val="Style8"/>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исполнять перед лицами, находящимися под санкциями, обязательства 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pPr>
        <w:pStyle w:val="Style8"/>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осуществлять финансовые операции, выгодоприобретателям и по которым являются лица, находящиеся под санкциями;</w:t>
      </w:r>
    </w:p>
    <w:p>
      <w:pPr>
        <w:pStyle w:val="Style8"/>
        <w:tabs>
          <w:tab w:leader="none" w:pos="1084" w:val="left"/>
        </w:tabs>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б)</w:t>
        <w:tab/>
        <w:t>запрет на вывоз за пределы территории Российской Федерации продукции и (или)сырья, производство и (или) добыча которых осуществляются на территории Российской Федерации, при условии, что такие продукция и (или) сырье поставляются в пользу лиц, находящихся под санкциями, и (или) лицами, находящимися под санкциями, в пользу иных лиц.</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Комиссией Управления установлено, что согласно подпунктами «н» и «о» пункта 1 «Требования к содержанию и составу заявки на участие в закупке. Инструкция по ее заполнению» Заказчиком установлены требования к участникам закупки в соответствии с пунктом 1 части 1 статьи 31 Закона о контрактной системе.</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пункту 11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2022-38376 4 49, 54 и 59 части 1 статьи 93 Закона о контрактной системе, заказчик устанавливает следующие единые требования к участникам закупки: отсутствие у участника закупки ограничений для участия в закупках, установленных законодательством Российской Федерации.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На заседании Комиссии установлено, что соответствие участника закупки требованиям Указа Президента №252 подтверждается сведениями, содержащимися в выписке из Единого государственного реестра юридических лиц (далее - ЕГРЮЛ) или заверенной в нотариальном порядке копии такой выписки, выписке из единого государственного реестра индивидуальных предпринимателей или заверенной в нотариальном порядке копии такой выписки, копии документов, удостоверяющих личность, документы о государственной регистрации юридического лица или физического лица в качестве индивидуального предпринимателя соответствующего государства с заверенным переводом на русский язык, копии учредительных документов участника закупки.</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силу подпункта «о» пункта 1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 декларацию о соответствии участника закупки требованиям, установленным пунктами 3 - 5, 7 - 11 части 1 статьи 31 Закона о контрактной системе.</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Комиссия Управления отмечает, что в подпункте «ж» пункта 1 «Требования к содержанию и составу заявки на участие в закупке в закупке. Инструкция по ее заполнению» установлено требование о предоставлении выписки из ЕГРЮЛ, на основании которой Заказчик проверяет, в том числе соответствие участников закупки положениям Указа Президента №252.</w:t>
      </w:r>
    </w:p>
    <w:p>
      <w:pPr>
        <w:pStyle w:val="Style8"/>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Таким образом, данный довод заявителя не находит своего подтверждения.</w:t>
      </w:r>
    </w:p>
    <w:p>
      <w:pPr>
        <w:pStyle w:val="Style3"/>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Довод заявителя о неверно установленном заказчиком сроке оплаты по контракту является необоснованным ввиду следующего.</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части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частью 7 статьи 94 настоящего Федерального закона.</w:t>
      </w:r>
    </w:p>
    <w:p>
      <w:pPr>
        <w:pStyle w:val="Style8"/>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Комиссией Управления установлено, что спорная закупка опубликована после 01.05.2022.</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Согласно пункту 3.4.2 проекта контракта Окончательный расчет за фактически оказанные услуги за представленные услуги (путевки) по каждой смене осуществляется с учетом произведенного 10% авансового платежа и в пределах суммы, подлежащей оплате за счет средств краевого бюджета, указанной в Протоколе согласования цены (Приложение № 2 к Контракту), </w:t>
      </w:r>
      <w:r>
        <w:rPr>
          <w:rStyle w:val="CharStyle13"/>
        </w:rPr>
        <w:t xml:space="preserve">в течение 7 рабочих дней </w:t>
      </w:r>
      <w:r>
        <w:rPr>
          <w:lang w:val="ru-RU" w:eastAsia="ru-RU" w:bidi="ru-RU"/>
          <w:w w:val="100"/>
          <w:spacing w:val="0"/>
          <w:color w:val="000000"/>
          <w:position w:val="0"/>
        </w:rPr>
        <w:t>с момента подписания Сторонами акта сдачи-приемки услуг по каждой смене в лагере, представления Исполнителем счета-фактуры и реестра предоставленных путевок (Приложение № 3 к Контракту).</w:t>
      </w:r>
    </w:p>
    <w:p>
      <w:pPr>
        <w:pStyle w:val="Style8"/>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Таким образом, нарушение заказчиком части 13.1. статьи 34 Закона о контрактной системе, Комиссией не установлено.</w:t>
      </w:r>
      <w:r>
        <w:br w:type="page"/>
      </w:r>
    </w:p>
    <w:p>
      <w:pPr>
        <w:pStyle w:val="Style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Довод заявителя, что согласно проекту контракта (п.3.4.2.) заказчик от подрядчика требует выставлять счет-фактуру в нарушение номы 169 Налогового кодекса РФ в том числе от организации и ИП, которые не являются налогоплательщиками НДС, признан комиссией необоснованным ввиду следующего.</w:t>
      </w:r>
    </w:p>
    <w:p>
      <w:pPr>
        <w:pStyle w:val="Style8"/>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 xml:space="preserve">Согласно статьи 169 Налогового кодекса РФ, при совершении операций, признаваемых объектом налогообложения в соответствии с настоящей главой (за исключением операций, не подлежащих налогообложению (освобождаемых от налогообложения) в соответствии со статьей 149 настоящего Кодекса, если иное не предусмотрено подпунктом 1.1 настоящего пункта). При совершении операций по реализации товаров (работ, услуг), имущественных прав, за исключением операций по реализации товаров, подлежащих прослеживаемости, лицам, не являющимся налогоплательщиками налога на добавленную стоимость, и налогоплательщикам, освобожденным от исполнения обязанностей налогоплательщика, связанных с исчислением и уплатой налога, </w:t>
      </w:r>
      <w:r>
        <w:rPr>
          <w:rStyle w:val="CharStyle13"/>
        </w:rPr>
        <w:t>по письменному согласию сторон сделки счета-фактуры не составляются.</w:t>
      </w:r>
    </w:p>
    <w:p>
      <w:pPr>
        <w:pStyle w:val="Style8"/>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Соответственно, если победитель не является налогоплательщиком НДС, заказчик и подрядчик по письменному согласию сторон сделки могут не составлять счета-фактуры.</w:t>
      </w:r>
    </w:p>
    <w:p>
      <w:pPr>
        <w:pStyle w:val="Style8"/>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В связи с чем, данный довод заявителя не находит своего подтверждения.</w:t>
      </w:r>
    </w:p>
    <w:p>
      <w:pPr>
        <w:pStyle w:val="Style8"/>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На основании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8"/>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Вместе с тем в материалах жалобы, а также на заседании Комиссии Управления Заявителем не представлено документов и сведений, свидетельствующих о невозможности формирования заявки в соответствии с требованиями извещения о проведении электронного аукциона, а также не представлено документов и доказательств, свидетельствующих об ограничении количества участников закупки и о нарушении Заказчиком норм законодательства об осуществлении закупок,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8"/>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Таким образом, Комиссия Управления приходит к выводу, что доводы жалобы не нашли своего подтверждения и являются необоснованными.</w:t>
      </w:r>
    </w:p>
    <w:p>
      <w:pPr>
        <w:pStyle w:val="Style8"/>
        <w:widowControl w:val="0"/>
        <w:keepNext w:val="0"/>
        <w:keepLines w:val="0"/>
        <w:shd w:val="clear" w:color="auto" w:fill="auto"/>
        <w:bidi w:val="0"/>
        <w:jc w:val="both"/>
        <w:spacing w:before="0" w:after="299" w:line="274" w:lineRule="exact"/>
        <w:ind w:left="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26.08. 2013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14"/>
        <w:widowControl w:val="0"/>
        <w:keepNext w:val="0"/>
        <w:keepLines w:val="0"/>
        <w:shd w:val="clear" w:color="auto" w:fill="auto"/>
        <w:bidi w:val="0"/>
        <w:jc w:val="left"/>
        <w:spacing w:before="0" w:after="271" w:line="200" w:lineRule="exact"/>
        <w:ind w:left="4740" w:right="0" w:firstLine="0"/>
      </w:pPr>
      <w:r>
        <w:rPr>
          <w:lang w:val="ru-RU" w:eastAsia="ru-RU" w:bidi="ru-RU"/>
          <w:w w:val="100"/>
          <w:color w:val="000000"/>
          <w:position w:val="0"/>
        </w:rPr>
        <w:t>РЕШИЛА:</w:t>
      </w:r>
    </w:p>
    <w:p>
      <w:pPr>
        <w:pStyle w:val="Style8"/>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1. Жалобу ИП Меркулова Виктора Ивановича признать необоснованной.</w:t>
      </w:r>
    </w:p>
    <w:p>
      <w:pPr>
        <w:framePr w:h="2718" w:wrap="around" w:vAnchor="text" w:hAnchor="margin" w:x="6143" w:y="498"/>
        <w:widowControl w:val="0"/>
        <w:jc w:val="center"/>
        <w:rPr>
          <w:sz w:val="2"/>
          <w:szCs w:val="2"/>
        </w:rPr>
      </w:pPr>
      <w:r>
        <w:pict>
          <v:shape id="_x0000_s1028" type="#_x0000_t75" style="width:205pt;height:136pt;">
            <v:imagedata r:id="rId8" r:href="rId9"/>
          </v:shape>
        </w:pict>
      </w:r>
    </w:p>
    <w:p>
      <w:pPr>
        <w:pStyle w:val="Style8"/>
        <w:widowControl w:val="0"/>
        <w:keepNext w:val="0"/>
        <w:keepLines w:val="0"/>
        <w:shd w:val="clear" w:color="auto" w:fill="auto"/>
        <w:bidi w:val="0"/>
        <w:jc w:val="both"/>
        <w:spacing w:before="0" w:after="286"/>
        <w:ind w:left="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в установленном законом порядке.</w:t>
      </w:r>
    </w:p>
    <w:p>
      <w:pPr>
        <w:pStyle w:val="Style8"/>
        <w:widowControl w:val="0"/>
        <w:keepNext w:val="0"/>
        <w:keepLines w:val="0"/>
        <w:shd w:val="clear" w:color="auto" w:fill="auto"/>
        <w:bidi w:val="0"/>
        <w:jc w:val="left"/>
        <w:spacing w:before="0" w:after="306" w:line="220" w:lineRule="exact"/>
        <w:ind w:left="240" w:right="0" w:firstLine="0"/>
      </w:pPr>
      <w:r>
        <w:rPr>
          <w:lang w:val="ru-RU" w:eastAsia="ru-RU" w:bidi="ru-RU"/>
          <w:w w:val="100"/>
          <w:spacing w:val="0"/>
          <w:color w:val="000000"/>
          <w:position w:val="0"/>
        </w:rPr>
        <w:t>Врио председателя комиссии</w:t>
      </w:r>
    </w:p>
    <w:p>
      <w:pPr>
        <w:pStyle w:val="Style8"/>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p>
    <w:sectPr>
      <w:type w:val="continuous"/>
      <w:pgSz w:w="11909" w:h="16838"/>
      <w:pgMar w:top="839" w:left="824" w:right="795" w:bottom="57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9pt;margin-top:27.75pt;width:5.6pt;height:9.7pt;z-index:-188744064;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fldSimple w:instr=" PAGE \* MERGEFORMAT ">
                  <w:r>
                    <w:rPr>
                      <w:rStyle w:val="CharStyle12"/>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1.0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03.05.%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7">
    <w:name w:val="Основной текст (3) + Интервал 1 pt"/>
    <w:basedOn w:val="CharStyle6"/>
    <w:rPr>
      <w:lang w:val="ru-RU" w:eastAsia="ru-RU" w:bidi="ru-RU"/>
      <w:w w:val="100"/>
      <w:spacing w:val="3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Колонтитул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Колонтитул"/>
    <w:basedOn w:val="CharStyle11"/>
    <w:rPr>
      <w:lang w:val="ru-RU" w:eastAsia="ru-RU" w:bidi="ru-RU"/>
      <w:sz w:val="24"/>
      <w:szCs w:val="24"/>
      <w:w w:val="100"/>
      <w:spacing w:val="0"/>
      <w:color w:val="000000"/>
      <w:position w:val="0"/>
    </w:rPr>
  </w:style>
  <w:style w:type="character" w:customStyle="1" w:styleId="CharStyle13">
    <w:name w:val="Основной текст + Полужирный"/>
    <w:basedOn w:val="CharStyle9"/>
    <w:rPr>
      <w:lang w:val="ru-RU" w:eastAsia="ru-RU" w:bidi="ru-RU"/>
      <w:b/>
      <w:bCs/>
      <w:w w:val="100"/>
      <w:spacing w:val="0"/>
      <w:color w:val="000000"/>
      <w:position w:val="0"/>
    </w:rPr>
  </w:style>
  <w:style w:type="character" w:customStyle="1" w:styleId="CharStyle15">
    <w:name w:val="Основной текст (4)_"/>
    <w:basedOn w:val="DefaultParagraphFont"/>
    <w:link w:val="Style14"/>
    <w:rPr>
      <w:b/>
      <w:bCs/>
      <w:i w:val="0"/>
      <w:iCs w:val="0"/>
      <w:u w:val="none"/>
      <w:strike w:val="0"/>
      <w:smallCaps w:val="0"/>
      <w:sz w:val="20"/>
      <w:szCs w:val="20"/>
      <w:rFonts w:ascii="Times New Roman" w:eastAsia="Times New Roman" w:hAnsi="Times New Roman" w:cs="Times New Roman"/>
      <w:spacing w:val="60"/>
    </w:rPr>
  </w:style>
  <w:style w:type="paragraph" w:customStyle="1" w:styleId="Style3">
    <w:name w:val="Основной текст (2)"/>
    <w:basedOn w:val="Normal"/>
    <w:link w:val="CharStyle4"/>
    <w:pPr>
      <w:widowControl w:val="0"/>
      <w:shd w:val="clear" w:color="auto" w:fill="FFFFFF"/>
      <w:jc w:val="center"/>
      <w:spacing w:after="180" w:line="274" w:lineRule="exact"/>
      <w:ind w:hanging="140"/>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420" w:line="238"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center"/>
      <w:spacing w:before="60" w:after="240" w:line="27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Колонтитул"/>
    <w:basedOn w:val="Normal"/>
    <w:link w:val="CharStyle11"/>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before="240" w:after="360" w:line="0" w:lineRule="exact"/>
    </w:pPr>
    <w:rPr>
      <w:b/>
      <w:bCs/>
      <w:i w:val="0"/>
      <w:iCs w:val="0"/>
      <w:u w:val="none"/>
      <w:strike w:val="0"/>
      <w:smallCaps w:val="0"/>
      <w:sz w:val="20"/>
      <w:szCs w:val="20"/>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s>
</file>