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310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0pt;height:66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162" w:after="104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</w:t>
      </w:r>
      <w:r>
        <w:rPr>
          <w:rStyle w:val="CharStyle5"/>
          <w:b/>
          <w:bCs/>
        </w:rPr>
        <w:t>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ФЕДЕРАЛЬНОЙ АНТИМОНОПОЛЬНОЙ СЛУЖБЫ ПО СВЕРДЛОВСКОЙ ОБЛАСТИ РЕШЕНИЕ по жалобе № </w:t>
      </w:r>
      <w:r>
        <w:rPr>
          <w:rStyle w:val="CharStyle6"/>
          <w:b/>
          <w:bCs/>
        </w:rPr>
        <w:t>066/06/106-2615/2022</w:t>
      </w:r>
      <w:bookmarkEnd w:id="0"/>
    </w:p>
    <w:p>
      <w:pPr>
        <w:pStyle w:val="Style7"/>
        <w:tabs>
          <w:tab w:leader="none" w:pos="8976" w:val="center"/>
          <w:tab w:leader="none" w:pos="9595" w:val="right"/>
        </w:tabs>
        <w:widowControl w:val="0"/>
        <w:keepNext w:val="0"/>
        <w:keepLines w:val="0"/>
        <w:shd w:val="clear" w:color="auto" w:fill="auto"/>
        <w:bidi w:val="0"/>
        <w:spacing w:before="0" w:after="249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03.08.2022</w:t>
        <w:tab/>
        <w:t>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9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15-00, при участии представителей: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Г АУЗ СО «СОКПБ», — *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заявителя в лице ООО «Эл-Мед», — *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12" w:line="23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«Эл-Мед» (вх. № 4022-ЭП/22 от 29.07.2022г.) о нарушении заказчиком в лице ГАУЗ СО «СОКПБ», его комиссией при осуществлении электронного аукциона на поставку агглютинирующей сыворотки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"https://zakupki.gov.ru/epz/order/notice/ea20/view/common-info.html?regNumber=0362200014422000341"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0362200014422000341)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221" w:line="19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Управление Федеральной антимонопольной службы по Свердловской области поступила жалоба ООО «Эл-Мед» (вх. № 4022-ЭП/22 от 29.07.2022г.) о нарушении заказчиком в лице Г АУЗ СО «СОКПБ», его комиссией при осуществлении электронного аукциона на поставку агглютинирующей сыворотки (извещение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"https://zakupki.gov.ru/epz/order/notice/ea20/view/common-info.html?regNumber=0362200014422000341"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0362200014422000341)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Закона о контрактной системе, соответствующая требованиям ст.105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извещение о проведении закупки составлено с нарушениями норм Закона о контрактной системе, а именно: техническое задание составлено таким образом, что под установленные по позиции № 8 заказчиком характеристики возможно поставить товар одного-единственного производителя АО «НПО по медицинским иммунобиологическим препаратам «Микроген», а также заявитель указывает на то, что заказчиком неправомерно, по его мнению, в качестве требования к форме выпуска установлена характеристика «ампула», т.к. данный показатель не предусмотрено соответствующей позицией КТРУ.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с доводами жалобы не согласился, просил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22.07.2022г. на официальном сайте опубликовано извещение о проведении электронного аукциона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"https://zakupki.gov.ru/epz/order/notice/ea20/view/common-info.html?regNumber=0362200014422000341"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0362200014422000341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 поставку агглютинирующей сыворотки.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237 167, 11 рублей.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«м»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«п» пункта 1 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«а»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«в»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подпунктом «д»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7"/>
        <w:numPr>
          <w:ilvl w:val="0"/>
          <w:numId w:val="3"/>
        </w:numPr>
        <w:tabs>
          <w:tab w:leader="none" w:pos="1063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 в соответствии 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статьей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7"/>
        <w:numPr>
          <w:ilvl w:val="0"/>
          <w:numId w:val="5"/>
        </w:numPr>
        <w:tabs>
          <w:tab w:leader="none" w:pos="1063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7"/>
        <w:numPr>
          <w:ilvl w:val="0"/>
          <w:numId w:val="5"/>
        </w:numPr>
        <w:tabs>
          <w:tab w:leader="none" w:pos="1029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(п.п. 1, 2 ч. 1 ст. 33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согласно ч. 2 ст. 33 Закона о контрактной системе описание объекта закупки в соответствии с требованиями, указанными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2"/>
        </w:rPr>
        <w:t>«поставка агглютинирующей сыворотки»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 характеристиками и в количестве, определенном описанием объекта закупки извещения.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структурированной форме извещения заказчиком для целей проведения данной закупочной процедуры выбран следующий код по ОКПД2 - 21.20.23.111 Препараты диагностические.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описания объекта закупки следует, что единицей измерения товара в данной закупке является «ампула» (позиция № 3 - № 6, № 9 - № 16), «набор» (позиция № 1 - № 2, № 17 - № 18) и «упаковка» (позиция № 7 - № 8, № 19).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первого довода жалобы следует, что заказчик неправомерно не использовал позицию КТРУ (КТРУ 21.20.23.110-00010274, КТРУ 21.20.23.110-00010038 или КТРУ 21.20.23.110-00008906), которая предусматривает в качестве единицы измерения «набор» и не предусматривает понятия «ампула».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Заслушав доводы сторон, Комиссия пришла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6 статьи 23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Порядок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формирования и ведения в единой информационной системе каталога товаров, работ, услуг для обеспечения государственных и муниципальных нужд, а также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правила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использования указанного каталога устанавливаются Правительством Российской Федерации (ч. 6 ст. 23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РФ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 (далее — Правила, утв. Постановлением Правительства РФ № 145).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«б» п. 2 Правил, утв. Постановлением Правительства РФ № 145, каталог используется заказчиками в целях: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описания объектов закупки, которое включается в извещение об осуществлении закупки, приглашение и документацию о закупке (в случае если Федеральным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предусмотрена документация о закупке).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Заказчики обязаны применять информацию, включенную в позицию каталога в соответствии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подпунктами «б» 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«г»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«е»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«з» пункта 10 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145 «Об утверждении Правил формирования и ведения в единой информационной системе в сфере закупок каталога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товара, работы, услуги;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единицы измерения количества товара, объема выполняемой работы, оказываемой услуги (при наличии);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описание товара, работы, услуги (при наличии такого описания в позиции) (п. 4 Правил, утв. Постановлением Правительства РФ № 145).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предоставления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 (п. 6 Правил, утв. Постановлением Правительства РФ № 145).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 (п. 7 Правил, утв. Постановлением Правительства РФ № 145).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120" w:right="120"/>
      </w:pPr>
      <w:r>
        <w:rPr>
          <w:rStyle w:val="CharStyle15"/>
          <w:i w:val="0"/>
          <w:iCs w:val="0"/>
        </w:rPr>
        <w:t xml:space="preserve">Согласно данным в ходе заседания Комиссии пояснениям представителя заказчика следует, что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ни одна из имеющихся позиций КТРУ не удовлетворяет потребность заказчика, поскольку заказчик не покупает наборы. Заказчику нужен конкретный товар с единицей измерения или штука, или ампула, или флакон. Набор/комплект подразумевает поставку не менее двух составляющих (например, реагент и растворитель). Заказчику же нужны исключительно сыворотки без дополнительных составляющих и без дополнительных затрат на сопутствующие товары, которые заказчику не нужны. Единица измерения в КТРУ при его применении не подлежит изменению или дополнению, поэтому заказчику не подходят указанные заявителем позиции КТРУ.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120" w:right="120"/>
      </w:pPr>
      <w:r>
        <w:rPr>
          <w:rStyle w:val="CharStyle15"/>
          <w:i w:val="0"/>
          <w:iCs w:val="0"/>
        </w:rPr>
        <w:t xml:space="preserve">Кроме того, из пояснений представителя заказчика следует, что указанная в техническом задании характеристика товара «ампула» соответствует потребностям заказчика с учетом специфики его деятельности: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«ампула является герметичным сосудом, не допускающим разгерметизацию, попадание неблагоприятных факторов окружающей среды, что предотвращает порчу товара при его хранении. При этом заказчиком учитывалась необходимость конечного результата: достоверный результат анализа, сохранность патогенных образцов в период хранения и отсутствие возможности улетучивания опасных веществ».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Комиссией было установлено, что, исходя из содержания жалобы следует намерение предложить к поставке товар виде флакона, однако предлагаемые им позиции КТРУ, которыми, по его мнению, заказчик должен был руководствоваться при формировании технического задания, в качестве единицы измерения используют указание на «набор».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ст.6 Закона о контрактной системе одним из принципов контрактной системы в сфере закупок является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всего вышеизложенного, учитывая, что использование позиции КТРУ, предполагающей осуществление закупки целого набора, в то время как заказчик испытывает потребность лишь в закупке сыворотки, включение при описании объекта закупки характеристики единицы измерения закупаемого товара «ампула» будет отвечать потребности заказчика и будет соответствовать принципу эффективности осуществления закупок и целесообразности расходования бюджетных средств.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указанный довод жалобы был признан Комиссией необоснованным.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1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второго довода жалобы, заявитель считает, что под установленные заказчиком по позиции № 8 характеристики подходит товар одного-единственного производителя - АО «НПО по медицинским иммунобиологическим препаратам «Микроген».</w:t>
      </w:r>
    </w:p>
    <w:p>
      <w:pPr>
        <w:pStyle w:val="Style16"/>
        <w:framePr w:w="9859" w:wrap="notBeside" w:vAnchor="text" w:hAnchor="text" w:xAlign="center" w:y="1"/>
        <w:tabs>
          <w:tab w:leader="underscore" w:pos="965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положений описания объекта закупки по позиции № 8 технического задания заказчик закупает </w:t>
      </w:r>
      <w:r>
        <w:rPr>
          <w:rStyle w:val="CharStyle18"/>
        </w:rPr>
        <w:t>товар со следующими характеристиками: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480"/>
        <w:gridCol w:w="2366"/>
        <w:gridCol w:w="658"/>
        <w:gridCol w:w="566"/>
        <w:gridCol w:w="1325"/>
        <w:gridCol w:w="4464"/>
      </w:tblGrid>
      <w:tr>
        <w:trPr>
          <w:trHeight w:val="8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120" w:right="0" w:firstLine="0"/>
            </w:pPr>
            <w:r>
              <w:rPr>
                <w:rStyle w:val="CharStyle19"/>
              </w:rPr>
              <w:t>Антитоксин (антиген)</w:t>
            </w:r>
          </w:p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120" w:right="0" w:firstLine="0"/>
            </w:pPr>
            <w:r>
              <w:rPr>
                <w:rStyle w:val="CharStyle19"/>
              </w:rPr>
              <w:t>дифтерийный</w:t>
            </w:r>
          </w:p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120" w:right="0" w:firstLine="0"/>
            </w:pPr>
            <w:r>
              <w:rPr>
                <w:rStyle w:val="CharStyle19"/>
              </w:rPr>
              <w:t>диагностический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90" w:lineRule="exact"/>
              <w:ind w:left="120" w:right="0" w:firstLine="0"/>
            </w:pPr>
            <w:r>
              <w:rPr>
                <w:rStyle w:val="CharStyle19"/>
              </w:rPr>
              <w:t>упак</w:t>
            </w:r>
          </w:p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after="0" w:line="190" w:lineRule="exact"/>
              <w:ind w:left="120" w:right="0" w:firstLine="0"/>
            </w:pPr>
            <w:r>
              <w:rPr>
                <w:rStyle w:val="CharStyle19"/>
              </w:rPr>
              <w:t>овка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1" w:lineRule="exact"/>
              <w:ind w:left="0" w:right="0" w:firstLine="0"/>
            </w:pPr>
            <w:r>
              <w:rPr>
                <w:rStyle w:val="CharStyle19"/>
              </w:rPr>
              <w:t>Количество в упаковке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10 ампул</w:t>
            </w:r>
          </w:p>
        </w:tc>
      </w:tr>
      <w:tr>
        <w:trPr>
          <w:trHeight w:val="25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Объем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1 мл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ампулы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Форма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сухая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выпуска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Срок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19"/>
              </w:rPr>
              <w:t>Не менее 80 % на момент поставки товара</w:t>
            </w:r>
          </w:p>
        </w:tc>
      </w:tr>
      <w:tr>
        <w:trPr>
          <w:trHeight w:val="307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7"/>
              <w:framePr w:w="985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9"/>
              </w:rPr>
              <w:t>годности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framePr w:w="985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 представитель заказчика на обозрение Комиссии предоставил доказательства, подтверждающие соответствие позиции № 8 технического задания товара как минимум двух производителей: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Антитоксина (антигена) дифтерийного диагностического НПО Микроген;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ОАО Биомед им. Мечникова.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при формировании начальной (максимальной) цены контракта заказчиком были получены коммерческие предложения от трех хозяйствующих субъектов, готовых предложить к поставке товар, соответствующий описанию объекта закупки, как минимум двух различных производителей: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КП б/д № 566 от ООО «ГЕМ»;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КП б/д № 463 от ООО «ЛАМЕТ»;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КП б/д № 649 от ООО «Эколаб-Диагностика».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5 ч. 4 ст. 105 Закона о контрактной системе при проведении электронных процедур жалоба может быть подана в контрольные органы в сфере закупок,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исключительно с использованием единой информационной системы путем формирования и размещения в этой системе следующей информации: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5) указание на обжалуемые действия (бездействие) субъекта (субъектов) контроля, доводы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представителем заказчика не предоставлено доказательств, подтверждающих позицию о том, что под установленные по позиции № 8 технического задания характеристики не подходит товар иных производителей.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Представителем заказчика, в свою очередь, доказательства, опровергающие вывод заявителя о том, что по позиции № 8 технического задания соответствует товар одного-единственного производителя в адрес Комиссии представлено.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Указанное обстоятельство является основанием для признания данного довода жалобы необоснованным.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09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129" w:line="190" w:lineRule="exact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7"/>
        <w:numPr>
          <w:ilvl w:val="0"/>
          <w:numId w:val="9"/>
        </w:numPr>
        <w:tabs>
          <w:tab w:leader="none" w:pos="1336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«Эл-Мед» признать необоснованной.</w:t>
      </w:r>
    </w:p>
    <w:p>
      <w:pPr>
        <w:pStyle w:val="Style7"/>
        <w:numPr>
          <w:ilvl w:val="0"/>
          <w:numId w:val="9"/>
        </w:numPr>
        <w:tabs>
          <w:tab w:leader="none" w:pos="1336" w:val="lef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ГАУЗ СО «СОКПБ», его комиссии нарушений Закона о контрактной системе не выявлено.</w:t>
      </w:r>
    </w:p>
    <w:p>
      <w:pPr>
        <w:pStyle w:val="Style7"/>
        <w:numPr>
          <w:ilvl w:val="0"/>
          <w:numId w:val="9"/>
        </w:numPr>
        <w:tabs>
          <w:tab w:leader="none" w:pos="1336" w:val="left"/>
        </w:tabs>
        <w:widowControl w:val="0"/>
        <w:keepNext w:val="0"/>
        <w:keepLines w:val="0"/>
        <w:shd w:val="clear" w:color="auto" w:fill="auto"/>
        <w:bidi w:val="0"/>
        <w:spacing w:before="0" w:after="184" w:line="23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 лице ГАУЗ СО «СОКПБ», его комиссии предписание об устранении нарушений законодательства о контрактной системе не выдавать.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65" w:line="22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7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55" w:left="1032" w:right="1008" w:bottom="9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7pt;margin-top:48.8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1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5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5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Заголовок №1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6">
    <w:name w:val="Заголовок №1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Колонтитул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Колонтитул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+ Курсив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2)_"/>
    <w:basedOn w:val="DefaultParagraphFont"/>
    <w:link w:val="Style13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Основной текст (2) + Не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7">
    <w:name w:val="Подпись к таблице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8">
    <w:name w:val="Подпись к таблице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3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before="180" w:after="60"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60" w:after="3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Колонтитул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jc w:val="both"/>
      <w:spacing w:line="226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6">
    <w:name w:val="Подпись к таблице"/>
    <w:basedOn w:val="Normal"/>
    <w:link w:val="CharStyle17"/>
    <w:pPr>
      <w:widowControl w:val="0"/>
      <w:shd w:val="clear" w:color="auto" w:fill="FFFFFF"/>
      <w:spacing w:line="235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