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322" w:line="260" w:lineRule="exact"/>
        <w:ind w:left="20" w:right="0" w:firstLine="0"/>
      </w:pPr>
      <w:r>
        <w:rPr>
          <w:lang w:val="ru-RU" w:eastAsia="ru-RU" w:bidi="ru-RU"/>
          <w:w w:val="100"/>
          <w:spacing w:val="0"/>
          <w:color w:val="000000"/>
          <w:position w:val="0"/>
        </w:rPr>
        <w:t>ФГКУ Росгранстрой</w:t>
      </w:r>
    </w:p>
    <w:p>
      <w:pPr>
        <w:pStyle w:val="Style20"/>
        <w:widowControl w:val="0"/>
        <w:keepNext w:val="0"/>
        <w:keepLines w:val="0"/>
        <w:shd w:val="clear" w:color="auto" w:fill="auto"/>
        <w:bidi w:val="0"/>
        <w:jc w:val="left"/>
        <w:spacing w:before="0" w:after="330" w:line="298" w:lineRule="exact"/>
        <w:ind w:left="20" w:right="0" w:firstLine="0"/>
      </w:pPr>
      <w:r>
        <w:rPr>
          <w:lang w:val="ru-RU" w:eastAsia="ru-RU" w:bidi="ru-RU"/>
          <w:w w:val="100"/>
          <w:spacing w:val="0"/>
          <w:color w:val="000000"/>
          <w:position w:val="0"/>
        </w:rPr>
        <w:t>ул. Садовая-Спасская, д.18, стр.1, г. Москва, 107078</w:t>
      </w:r>
    </w:p>
    <w:p>
      <w:pPr>
        <w:pStyle w:val="Style20"/>
        <w:widowControl w:val="0"/>
        <w:keepNext w:val="0"/>
        <w:keepLines w:val="0"/>
        <w:shd w:val="clear" w:color="auto" w:fill="auto"/>
        <w:bidi w:val="0"/>
        <w:jc w:val="left"/>
        <w:spacing w:before="0" w:after="328" w:line="260" w:lineRule="exact"/>
        <w:ind w:left="20" w:right="0" w:firstLine="0"/>
      </w:pPr>
      <w:r>
        <w:rPr>
          <w:lang w:val="ru-RU" w:eastAsia="ru-RU" w:bidi="ru-RU"/>
          <w:w w:val="100"/>
          <w:spacing w:val="0"/>
          <w:color w:val="000000"/>
          <w:position w:val="0"/>
        </w:rPr>
        <w:t>ООО «Спецстройбезопасность»</w:t>
      </w:r>
    </w:p>
    <w:p>
      <w:pPr>
        <w:pStyle w:val="Style20"/>
        <w:widowControl w:val="0"/>
        <w:keepNext w:val="0"/>
        <w:keepLines w:val="0"/>
        <w:shd w:val="clear" w:color="auto" w:fill="auto"/>
        <w:bidi w:val="0"/>
        <w:jc w:val="left"/>
        <w:spacing w:before="0" w:after="334" w:line="302" w:lineRule="exact"/>
        <w:ind w:left="20" w:right="0" w:firstLine="0"/>
      </w:pPr>
      <w:r>
        <w:rPr>
          <w:lang w:val="ru-RU" w:eastAsia="ru-RU" w:bidi="ru-RU"/>
          <w:w w:val="100"/>
          <w:spacing w:val="0"/>
          <w:color w:val="000000"/>
          <w:position w:val="0"/>
        </w:rPr>
        <w:t>ул. Маршала Жукова, д. 7, оф. 244, г. Ставрополь, 355000,</w:t>
      </w:r>
    </w:p>
    <w:p>
      <w:pPr>
        <w:pStyle w:val="Style20"/>
        <w:widowControl w:val="0"/>
        <w:keepNext w:val="0"/>
        <w:keepLines w:val="0"/>
        <w:shd w:val="clear" w:color="auto" w:fill="auto"/>
        <w:bidi w:val="0"/>
        <w:jc w:val="left"/>
        <w:spacing w:before="0" w:after="323" w:line="260" w:lineRule="exact"/>
        <w:ind w:left="20" w:right="0" w:firstLine="0"/>
      </w:pPr>
      <w:r>
        <w:rPr>
          <w:lang w:val="ru-RU" w:eastAsia="ru-RU" w:bidi="ru-RU"/>
          <w:w w:val="100"/>
          <w:spacing w:val="0"/>
          <w:color w:val="000000"/>
          <w:position w:val="0"/>
        </w:rPr>
        <w:t>ООО «РТС-тендер»</w:t>
      </w:r>
    </w:p>
    <w:p>
      <w:pPr>
        <w:pStyle w:val="Style20"/>
        <w:widowControl w:val="0"/>
        <w:keepNext w:val="0"/>
        <w:keepLines w:val="0"/>
        <w:shd w:val="clear" w:color="auto" w:fill="auto"/>
        <w:bidi w:val="0"/>
        <w:jc w:val="left"/>
        <w:spacing w:before="0" w:after="0" w:line="302"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1619" w:bottom="341" w:header="0" w:footer="3" w:gutter="0"/>
          <w:rtlGutter w:val="0"/>
          <w:cols w:num="2" w:space="1128"/>
          <w:noEndnote/>
          <w:docGrid w:linePitch="360"/>
        </w:sectPr>
      </w:pPr>
      <w:r>
        <w:rPr>
          <w:lang w:val="ru-RU" w:eastAsia="ru-RU" w:bidi="ru-RU"/>
          <w:w w:val="100"/>
          <w:spacing w:val="0"/>
          <w:color w:val="000000"/>
          <w:position w:val="0"/>
        </w:rPr>
        <w:t>наб. Тараса Шевченко, д. 23-А, г. Москва, 121151</w:t>
      </w:r>
    </w:p>
    <w:p>
      <w:pPr>
        <w:widowControl w:val="0"/>
        <w:spacing w:before="73" w:after="7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8992"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№077/06/106-9861/2022 о нарушении законодательства о контрактной системе 29.06.2022</w:t>
        <w:tab/>
        <w:t>г. Москва</w:t>
      </w:r>
    </w:p>
    <w:p>
      <w:pPr>
        <w:pStyle w:val="Style20"/>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20"/>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20"/>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20"/>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20"/>
        <w:widowControl w:val="0"/>
        <w:keepNext w:val="0"/>
        <w:keepLines w:val="0"/>
        <w:shd w:val="clear" w:color="auto" w:fill="auto"/>
        <w:bidi w:val="0"/>
        <w:jc w:val="left"/>
        <w:spacing w:before="0" w:after="0" w:line="307"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20"/>
        <w:tabs>
          <w:tab w:leader="none" w:pos="3754" w:val="left"/>
        </w:tabs>
        <w:widowControl w:val="0"/>
        <w:keepNext w:val="0"/>
        <w:keepLines w:val="0"/>
        <w:shd w:val="clear" w:color="auto" w:fill="auto"/>
        <w:bidi w:val="0"/>
        <w:jc w:val="both"/>
        <w:spacing w:before="0" w:after="0" w:line="307" w:lineRule="exact"/>
        <w:ind w:left="40" w:right="0" w:firstLine="700"/>
      </w:pPr>
      <w:r>
        <w:rPr>
          <w:lang w:val="ru-RU" w:eastAsia="ru-RU" w:bidi="ru-RU"/>
          <w:w w:val="100"/>
          <w:spacing w:val="0"/>
          <w:color w:val="000000"/>
          <w:position w:val="0"/>
        </w:rPr>
        <w:t>ФГКУ Росгранстрой:</w:t>
        <w:tab/>
        <w:t>М.В. Трухина (по дов. №110 от 01.06.2022),</w:t>
      </w:r>
    </w:p>
    <w:p>
      <w:pPr>
        <w:pStyle w:val="Style20"/>
        <w:widowControl w:val="0"/>
        <w:keepNext w:val="0"/>
        <w:keepLines w:val="0"/>
        <w:shd w:val="clear" w:color="auto" w:fill="auto"/>
        <w:bidi w:val="0"/>
        <w:jc w:val="both"/>
        <w:spacing w:before="0" w:after="0" w:line="307" w:lineRule="exact"/>
        <w:ind w:left="40" w:right="20" w:firstLine="0"/>
      </w:pPr>
      <w:r>
        <w:rPr>
          <w:lang w:val="ru-RU" w:eastAsia="ru-RU" w:bidi="ru-RU"/>
          <w:w w:val="100"/>
          <w:spacing w:val="0"/>
          <w:color w:val="000000"/>
          <w:position w:val="0"/>
        </w:rPr>
        <w:t>Е.Г. Щепоткиной (по дов. №111 от 01.06.2022), Т.А. Комиссаровой (по дов. № 112 от 01.06.2022),</w:t>
      </w:r>
    </w:p>
    <w:p>
      <w:pPr>
        <w:pStyle w:val="Style22"/>
        <w:framePr w:w="1685" w:h="394" w:wrap="around" w:vAnchor="text" w:hAnchor="margin" w:x="385" w:y="253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000163924027</w:t>
      </w:r>
    </w:p>
    <w:p>
      <w:pPr>
        <w:pStyle w:val="Style20"/>
        <w:widowControl w:val="0"/>
        <w:keepNext w:val="0"/>
        <w:keepLines w:val="0"/>
        <w:shd w:val="clear" w:color="auto" w:fill="auto"/>
        <w:bidi w:val="0"/>
        <w:jc w:val="both"/>
        <w:spacing w:before="0" w:after="299" w:line="307" w:lineRule="exact"/>
        <w:ind w:left="40" w:right="20" w:firstLine="700"/>
      </w:pPr>
      <w:r>
        <w:rPr>
          <w:lang w:val="ru-RU" w:eastAsia="ru-RU" w:bidi="ru-RU"/>
          <w:w w:val="100"/>
          <w:spacing w:val="0"/>
          <w:color w:val="000000"/>
          <w:position w:val="0"/>
        </w:rPr>
        <w:t>ООО «Спецстройбезопасность»: Г.Ю. Птицына (по дов. №б/н от 23.06.2022), рассмотрев жалобу ООО «Спецстройбезопасность» (далее — Заявитель) на действия ФГКУ Росгранстрой (далее — Заказчик) при проведении открытого конкурса в электронной форме на право заключения государственного контракта на выполнение работ по проектированию системы видеонаблюдения на въездах и выездах в автомобильных пунктах пропуска через государственную границу Российской Федерации (Закупка № 0373100063322000008) (далее — конкурс)</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52" w:bottom="326" w:header="0" w:footer="3" w:gutter="0"/>
          <w:rtlGutter w:val="0"/>
          <w:cols w:space="720"/>
          <w:noEndnote/>
          <w:docGrid w:linePitch="360"/>
        </w:sectPr>
      </w:pPr>
    </w:p>
    <w:p>
      <w:pPr>
        <w:pStyle w:val="Style20"/>
        <w:tabs>
          <w:tab w:leader="none" w:pos="10196" w:val="right"/>
        </w:tabs>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№727/14</w:t>
      </w:r>
    </w:p>
    <w:p>
      <w:pPr>
        <w:pStyle w:val="Style20"/>
        <w:widowControl w:val="0"/>
        <w:keepNext w:val="0"/>
        <w:keepLines w:val="0"/>
        <w:shd w:val="clear" w:color="auto" w:fill="auto"/>
        <w:bidi w:val="0"/>
        <w:jc w:val="both"/>
        <w:spacing w:before="0" w:after="334" w:line="302" w:lineRule="exact"/>
        <w:ind w:left="20" w:right="0" w:firstLine="0"/>
      </w:pPr>
      <w:r>
        <w:rPr>
          <w:lang w:val="ru-RU" w:eastAsia="ru-RU" w:bidi="ru-RU"/>
          <w:w w:val="100"/>
          <w:spacing w:val="0"/>
          <w:color w:val="000000"/>
          <w:position w:val="0"/>
        </w:rPr>
        <w:t>(далее — Административный регламент),</w:t>
      </w:r>
    </w:p>
    <w:p>
      <w:pPr>
        <w:pStyle w:val="Style26"/>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конкурса.</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№ЕИ/33553/22 от 23.06.2022.</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20"/>
        <w:numPr>
          <w:ilvl w:val="0"/>
          <w:numId w:val="1"/>
        </w:numPr>
        <w:tabs>
          <w:tab w:leader="none" w:pos="1024" w:val="left"/>
        </w:tabs>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Заявитель в составе жалобы указывает на то, что Заказчиком в извещении о проведении электронного аукциона неправомерно не установлены требования к участникам закупки о членстве в саморегулируемой организации (далее — СРО) в области архитектурно-строительного проектирования.</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Согласно п. 12 ч. 1 ст. 42 Закона о контрактной системе извещение об осуществлении закупки должно содержать, в том числе,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0"/>
        <w:numPr>
          <w:ilvl w:val="0"/>
          <w:numId w:val="3"/>
        </w:numPr>
        <w:tabs>
          <w:tab w:leader="none" w:pos="1278" w:val="left"/>
        </w:tabs>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ст. 31 Закона о контрактной системе установлено, что информация об установленных требованиях в соответствии с частями 1, 1.1, 2 и 2.1 ст. 31 Закона о контрактной системе указывается заказчиком в извещении об осуществлении закупки и документации о закупке.</w:t>
      </w:r>
    </w:p>
    <w:p>
      <w:pPr>
        <w:pStyle w:val="Style20"/>
        <w:tabs>
          <w:tab w:leader="none" w:pos="1983" w:val="left"/>
        </w:tabs>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Согласно ч.1</w:t>
        <w:tab/>
        <w:t>ст.47 Градостроительного кодекса Российской Федерации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pPr>
        <w:pStyle w:val="Style20"/>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На основании ч.4.1 ст.47 Градостроительного кодекса Российской Федерации результаты инженерных изысканий представляют собой документ о выполненных инженерных изысканиях, содержащий материалы в текстовой и графической формах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pPr>
        <w:pStyle w:val="Style20"/>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В соответствии с ч.1 ст.48 Градостроительного кодекса Российской Федерации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20"/>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Согласно ч.2.1 ст.48 Градостроительного кодекса Российской Федерации рабочая документация представляет собой документацию, содержащую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Подготовка проектной документации и рабочей документации может осуществляться одновременно.</w:t>
      </w:r>
    </w:p>
    <w:p>
      <w:pPr>
        <w:pStyle w:val="Style20"/>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На основании ч.5.2 ст.48 Градостроительного кодекса Российской Федерации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pPr>
        <w:pStyle w:val="Style20"/>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В силу ч.1 ст.55.8 Градостроительного кодекса Российской Федерации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Градостроительного кодекса Российской Федерации.</w:t>
      </w:r>
    </w:p>
    <w:p>
      <w:pPr>
        <w:pStyle w:val="Style20"/>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Согласно извещению о проведении открытого конкурса в электронной форме от 15.06.2022 объектом закупочной процедуры является выполнение работ по проектированию системы видеонаблюдения на въездах и выездах в автомобильных пунктах пропуска через государственную границу Российской Федерации.</w:t>
      </w:r>
    </w:p>
    <w:p>
      <w:pPr>
        <w:pStyle w:val="Style20"/>
        <w:tabs>
          <w:tab w:leader="none" w:pos="8266" w:val="left"/>
        </w:tabs>
        <w:widowControl w:val="0"/>
        <w:keepNext w:val="0"/>
        <w:keepLines w:val="0"/>
        <w:shd w:val="clear" w:color="auto" w:fill="auto"/>
        <w:bidi w:val="0"/>
        <w:jc w:val="left"/>
        <w:spacing w:before="0" w:after="0" w:line="302" w:lineRule="exact"/>
        <w:ind w:left="0" w:right="20" w:firstLine="720"/>
      </w:pPr>
      <w:r>
        <w:rPr>
          <w:lang w:val="ru-RU" w:eastAsia="ru-RU" w:bidi="ru-RU"/>
          <w:w w:val="100"/>
          <w:spacing w:val="0"/>
          <w:color w:val="000000"/>
          <w:position w:val="0"/>
        </w:rPr>
        <w:t xml:space="preserve">Комиссией Управления установлено, что Приложение №2 к техническому заданию содержит опытный образец Системы АС ИСП </w:t>
      </w:r>
      <w:r>
        <w:rPr>
          <w:lang w:val="en-US" w:eastAsia="en-US" w:bidi="en-US"/>
          <w:w w:val="100"/>
          <w:spacing w:val="0"/>
          <w:color w:val="000000"/>
          <w:position w:val="0"/>
        </w:rPr>
        <w:t xml:space="preserve">(DVD-R </w:t>
      </w:r>
      <w:r>
        <w:rPr>
          <w:lang w:val="ru-RU" w:eastAsia="ru-RU" w:bidi="ru-RU"/>
          <w:w w:val="100"/>
          <w:spacing w:val="0"/>
          <w:color w:val="000000"/>
          <w:position w:val="0"/>
        </w:rPr>
        <w:t>диск, объём МБ), в состав которого входят Технические условия. ВРБЕ.466453.001 ТУ; Описание информационного обеспечения. ВРБЕ.466453.001</w:t>
        <w:tab/>
        <w:t>П5; Описание</w:t>
      </w:r>
    </w:p>
    <w:p>
      <w:pPr>
        <w:pStyle w:val="Style20"/>
        <w:widowControl w:val="0"/>
        <w:keepNext w:val="0"/>
        <w:keepLines w:val="0"/>
        <w:shd w:val="clear" w:color="auto" w:fill="auto"/>
        <w:bidi w:val="0"/>
        <w:jc w:val="both"/>
        <w:spacing w:before="0" w:after="0" w:line="302" w:lineRule="exact"/>
        <w:ind w:left="0" w:right="20" w:firstLine="0"/>
      </w:pPr>
      <w:r>
        <w:rPr>
          <w:lang w:val="ru-RU" w:eastAsia="ru-RU" w:bidi="ru-RU"/>
          <w:w w:val="100"/>
          <w:spacing w:val="0"/>
          <w:color w:val="000000"/>
          <w:position w:val="0"/>
        </w:rPr>
        <w:t>организации информационной базы. ВРБЕ.466453.001 П6; Описание массива информации. ВРБЕ.466453.001 П8; Описание СПО. ВРБЕ.466453.001-01 13 01; Общее описание системы. ВРБЕ.466453.001 ПД; Паспорт. ВРБЕ.466453.001 ПС. При этом согласно содержанию в состав документации на опытный образец должны входить, в том числе, технические требования, требования безопасности, требования охраны окружающей среды, правила приемки, методы испытаний, указания по эксплуатации, транспортированию и хранению, гарантии изготовителя.</w:t>
      </w:r>
    </w:p>
    <w:p>
      <w:pPr>
        <w:pStyle w:val="Style20"/>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Также согласно положениям технического задания наименованием подлежащих работ является проектирование системы видеонаблюдения на въездах и выездах в автомобильных пунктах пропуска через государственную границу Российской Федерации, включает в себя:</w:t>
      </w:r>
    </w:p>
    <w:p>
      <w:pPr>
        <w:pStyle w:val="Style20"/>
        <w:numPr>
          <w:ilvl w:val="0"/>
          <w:numId w:val="5"/>
        </w:numPr>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 xml:space="preserve"> предпроектное обследование пунктов пропуска и здания ФГКУ Росгранстрой для определения условий оснащения системой видеонаблюдения на въездах и выездах в автомобильных пунктах пропуска через государственную границу Российской Федерации (далее - система видеонаблюдения или СВН, пункты пропуска соответственно);</w:t>
      </w:r>
    </w:p>
    <w:p>
      <w:pPr>
        <w:pStyle w:val="Style20"/>
        <w:numPr>
          <w:ilvl w:val="0"/>
          <w:numId w:val="5"/>
        </w:numPr>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 xml:space="preserve"> разработка рабочей документации (включающая технические решения) и сметная документация на оснащение СВН пунктов пропуска и здания ФГКУ Росгранстрой, получившая положительное заключение негосударственной экспертизы достоверности определения сметной стоимости.</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При этом вышеуказанные работы разделены на 2 этапа, в рамках первого выполняется предпроектное обследование, второй этап посвящен разработке рабочей документации (включая технические решения) и сметной документации.</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Комиссией Управления также установлено, что положениями п.10 технического задания предусмотрен перечень регламентирующих документов, так например, ГОСТ Р 21.101-2020 Система проектной документации для строительства. Основные требования к проектной и рабочей документации; СП 31</w:t>
        <w:softHyphen/>
        <w:t>110-2003. Проектирование и монтаж электроустановок жилых и общественных зданий; СНиП 12-03-2001. Безопасность труда в строительстве. Часть 1. Общие требования; СНиП 12-04-2002. Безопасность труда в строительстве Часть 2. Строительное производство; СП 20.13330.2016 Свод правил. Нагрузки и воздействия.</w:t>
      </w:r>
    </w:p>
    <w:p>
      <w:pPr>
        <w:pStyle w:val="Style20"/>
        <w:tabs>
          <w:tab w:leader="none" w:pos="1359" w:val="left"/>
        </w:tabs>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ч.1 ст. 106 Закона о контрактной системе лица, права и законные</w:t>
        <w:tab/>
        <w:t>интересы которых непосредственно затрагиваются в результате</w:t>
      </w:r>
    </w:p>
    <w:p>
      <w:pPr>
        <w:pStyle w:val="Style20"/>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0"/>
        <w:tabs>
          <w:tab w:leader="none" w:pos="1359" w:val="left"/>
        </w:tabs>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На</w:t>
        <w:tab/>
        <w:t>заседании Комиссии Управления представители Заказчика, не</w:t>
      </w:r>
    </w:p>
    <w:p>
      <w:pPr>
        <w:pStyle w:val="Style20"/>
        <w:tabs>
          <w:tab w:leader="none" w:pos="1359" w:val="left"/>
          <w:tab w:leader="none" w:pos="10210" w:val="right"/>
        </w:tabs>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согласившись с доводами жалобы, пояснили, что техническим заданием извещения о проведении открытого конкурса в электронной форме не предусмотрены ни работы по строительству, ни реконструкции, ни капитальному ремонту. Таким образом,</w:t>
        <w:tab/>
        <w:t>по мнению представителей Заказчика, положение ч.1</w:t>
        <w:tab/>
        <w:t>ст.55.8</w:t>
      </w:r>
    </w:p>
    <w:p>
      <w:pPr>
        <w:pStyle w:val="Style20"/>
        <w:tabs>
          <w:tab w:leader="none" w:pos="1359" w:val="left"/>
        </w:tabs>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Градостроительного кодекса Российской Федерации не распространяет свое действие</w:t>
        <w:tab/>
        <w:t>на результат выполненных работ по проектированию системы</w:t>
      </w:r>
    </w:p>
    <w:p>
      <w:pPr>
        <w:pStyle w:val="Style20"/>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видеонаблюдения на въездах и выездах в автомобильных пунктах пропуска через государственную границу Российской Федерации. На основании вышеизложенного, требование о наличии у участника закупки членства саморегулируемой организации на право выполнять инженерные изыскания, осуществлять подготовку проектной документации является избыточным.</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Вместе с тем Комиссией Управления установлено, что согласно п.11 технического задания Подрядчик должен предоставить Государственному заказчику:</w:t>
      </w:r>
    </w:p>
    <w:p>
      <w:pPr>
        <w:pStyle w:val="Style20"/>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Отчеты об обследовании с Актами обследования по каждому из пунктов пропуска и зданию ФГКУ Росгранстрой:</w:t>
      </w:r>
    </w:p>
    <w:p>
      <w:pPr>
        <w:pStyle w:val="Style20"/>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на бумажном носителе в 2 экз.;</w:t>
      </w:r>
    </w:p>
    <w:p>
      <w:pPr>
        <w:pStyle w:val="Style20"/>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 xml:space="preserve">на электронном носителе в формате </w:t>
      </w:r>
      <w:r>
        <w:rPr>
          <w:lang w:val="en-US" w:eastAsia="en-US" w:bidi="en-US"/>
          <w:w w:val="100"/>
          <w:spacing w:val="0"/>
          <w:color w:val="000000"/>
          <w:position w:val="0"/>
        </w:rPr>
        <w:t xml:space="preserve">pdf </w:t>
      </w:r>
      <w:r>
        <w:rPr>
          <w:lang w:val="ru-RU" w:eastAsia="ru-RU" w:bidi="ru-RU"/>
          <w:w w:val="100"/>
          <w:spacing w:val="0"/>
          <w:color w:val="000000"/>
          <w:position w:val="0"/>
        </w:rPr>
        <w:t>и редактируемом формате в 1 экз.</w:t>
      </w:r>
    </w:p>
    <w:p>
      <w:pPr>
        <w:pStyle w:val="Style20"/>
        <w:numPr>
          <w:ilvl w:val="0"/>
          <w:numId w:val="7"/>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Рабочую документацию на оснащение СВН (включая технические решения) по каждому из пунктов пропуска и зданию ФГКУ Росгранстрой:</w:t>
      </w:r>
    </w:p>
    <w:p>
      <w:pPr>
        <w:pStyle w:val="Style20"/>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на бумажном носителе в 2 экз.;</w:t>
      </w:r>
    </w:p>
    <w:p>
      <w:pPr>
        <w:pStyle w:val="Style20"/>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 xml:space="preserve">на электронном носителе в формате </w:t>
      </w:r>
      <w:r>
        <w:rPr>
          <w:lang w:val="en-US" w:eastAsia="en-US" w:bidi="en-US"/>
          <w:w w:val="100"/>
          <w:spacing w:val="0"/>
          <w:color w:val="000000"/>
          <w:position w:val="0"/>
        </w:rPr>
        <w:t xml:space="preserve">pdf </w:t>
      </w:r>
      <w:r>
        <w:rPr>
          <w:lang w:val="ru-RU" w:eastAsia="ru-RU" w:bidi="ru-RU"/>
          <w:w w:val="100"/>
          <w:spacing w:val="0"/>
          <w:color w:val="000000"/>
          <w:position w:val="0"/>
        </w:rPr>
        <w:t>и редактируемых форматах в 1 экз.</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Формы Отчета об обследовании и Акта обследования согласовываются с Государственным заказчиком в течение 5 (Пяти) рабочих дней с даты заключения государственного контракта.</w:t>
      </w:r>
    </w:p>
    <w:p>
      <w:pPr>
        <w:pStyle w:val="Style20"/>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Рекомендуемые форматы представления Рабочей документации:</w:t>
      </w:r>
    </w:p>
    <w:p>
      <w:pPr>
        <w:pStyle w:val="Style20"/>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текстовые документы - в форматах </w:t>
      </w:r>
      <w:r>
        <w:rPr>
          <w:lang w:val="en-US" w:eastAsia="en-US" w:bidi="en-US"/>
          <w:w w:val="100"/>
          <w:spacing w:val="0"/>
          <w:color w:val="000000"/>
          <w:position w:val="0"/>
        </w:rPr>
        <w:t>MS Word,</w:t>
      </w:r>
    </w:p>
    <w:p>
      <w:pPr>
        <w:pStyle w:val="Style20"/>
        <w:widowControl w:val="0"/>
        <w:keepNext w:val="0"/>
        <w:keepLines w:val="0"/>
        <w:shd w:val="clear" w:color="auto" w:fill="auto"/>
        <w:bidi w:val="0"/>
        <w:jc w:val="both"/>
        <w:spacing w:before="0" w:after="0" w:line="322" w:lineRule="exact"/>
        <w:ind w:left="20" w:right="0" w:firstLine="700"/>
      </w:pPr>
      <w:r>
        <w:rPr>
          <w:lang w:val="en-US" w:eastAsia="en-US" w:bidi="en-US"/>
          <w:w w:val="100"/>
          <w:spacing w:val="0"/>
          <w:color w:val="000000"/>
          <w:position w:val="0"/>
        </w:rPr>
        <w:t>MS Excel, AutoCAD;</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структурные схемы и схемы расположения оборудования, чертежи (в масштабе) с нанесенными на них трассами прокладки кабелей, устройств кабельной канализации, коммутационного оборудования, информационных розеток - в формате </w:t>
      </w:r>
      <w:r>
        <w:rPr>
          <w:lang w:val="en-US" w:eastAsia="en-US" w:bidi="en-US"/>
          <w:w w:val="100"/>
          <w:spacing w:val="0"/>
          <w:color w:val="000000"/>
          <w:position w:val="0"/>
        </w:rPr>
        <w:t xml:space="preserve">AutoCAD </w:t>
      </w:r>
      <w:r>
        <w:rPr>
          <w:lang w:val="ru-RU" w:eastAsia="ru-RU" w:bidi="ru-RU"/>
          <w:w w:val="100"/>
          <w:spacing w:val="0"/>
          <w:color w:val="000000"/>
          <w:position w:val="0"/>
        </w:rPr>
        <w:t xml:space="preserve">версии не ниже 2000 с расширением </w:t>
      </w:r>
      <w:r>
        <w:rPr>
          <w:lang w:val="en-US" w:eastAsia="en-US" w:bidi="en-US"/>
          <w:w w:val="100"/>
          <w:spacing w:val="0"/>
          <w:color w:val="000000"/>
          <w:position w:val="0"/>
        </w:rPr>
        <w:t>dwg;</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таблицы соединений, данные по кабелям (тип, длина, маркировка) - в формате </w:t>
      </w:r>
      <w:r>
        <w:rPr>
          <w:lang w:val="en-US" w:eastAsia="en-US" w:bidi="en-US"/>
          <w:w w:val="100"/>
          <w:spacing w:val="0"/>
          <w:color w:val="000000"/>
          <w:position w:val="0"/>
        </w:rPr>
        <w:t>XLS, DWG.</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Кроме того, п.12 технического задания установлены требования к разработке сметной документации, которая должна быть определена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на территории Российской Федерации» утвержденной приказом №421/пр от 04.08.2020г.</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Одновременно с этим Комиссией Управления установлено, что п.13 технического задания Заказчиком определены этапы, объемы и особенности выполняемых работ. Так, согласно данной закупочной процедуре выполнение работ включает в себя следующие этапы:</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Первый этап: предпроектное обследование: определение мест для установки оборудования:</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определение наличия возможности использования существующей инфраструктуры пункта пропуска: опор (стоек) для размещения телекамер, кабельных трасс (канализации, кабельных лотков по территории и т.д.);</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получение от Государственного заказчика технических условий на подключение оборудования СВН к сетям электроснабжения на пунктах пропуска;</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получение от Государственного заказчика технических условий на подключение оборудования СВН к сети передачи данных на пунктах пропуска;</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получение от Государственного заказчика схем планировки, необходимых строительных планов пунктов пропуска;</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подготовка и согласование с Государственным заказчиком схем установки видеокамер, схем прокладки кабелей.</w:t>
      </w:r>
    </w:p>
    <w:p>
      <w:pPr>
        <w:pStyle w:val="Style20"/>
        <w:widowControl w:val="0"/>
        <w:keepNext w:val="0"/>
        <w:keepLines w:val="0"/>
        <w:shd w:val="clear" w:color="auto" w:fill="auto"/>
        <w:bidi w:val="0"/>
        <w:jc w:val="left"/>
        <w:spacing w:before="0" w:after="0" w:line="307" w:lineRule="exact"/>
        <w:ind w:left="20" w:right="20" w:firstLine="700"/>
      </w:pPr>
      <w:r>
        <w:rPr>
          <w:lang w:val="ru-RU" w:eastAsia="ru-RU" w:bidi="ru-RU"/>
          <w:w w:val="100"/>
          <w:spacing w:val="0"/>
          <w:color w:val="000000"/>
          <w:position w:val="0"/>
        </w:rPr>
        <w:t>При проведении предпроектного обследования здания ФГКУ Росгранстрой Подрядчиком должны быть проведены следующие работы: определение мест для установки оборудования;</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определение наличия возможности использования существующей инфраструктуры здания ФГКУ Росгранстрой;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получение от Государственного заказчика технических условий на подключение оборудования СВН к сетям электроснабжения в здании ФГКУ Росгранстрой;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получение от Государственного заказчика технических условий на подключение оборудования СВН к сети передачи данных в здании ФГКУ Росгранстрой;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получение от Государственного заказчика схем планировки, необходимых строительных планов здания ФГКУ Росгранстрой;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подготовка и согласование с государственным заказчиком схем установки оборудования, схем прокладки кабелей.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Результаты обследования здания ФГКУ Росгранстрой отражаются в Акте обследования, который подписывается членами рабочей группы, выполнившими обследование.</w:t>
      </w:r>
    </w:p>
    <w:p>
      <w:pPr>
        <w:pStyle w:val="Style20"/>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По результатам обследования здания ФГКУ Росгранстрой Подрядчиком должен быть составлен Отчёт об обследовании, отражающий информацию о необходимых исходных данных для разработки рабочей документации и предварительные технические решения, в т.ч.: состав оборудования СВН; места установки оборудования СВН; схемы прокладки кабельных трасс в здании ФГКУ Росгранстрой.</w:t>
      </w:r>
    </w:p>
    <w:p>
      <w:pPr>
        <w:pStyle w:val="Style20"/>
        <w:widowControl w:val="0"/>
        <w:keepNext w:val="0"/>
        <w:keepLines w:val="0"/>
        <w:shd w:val="clear" w:color="auto" w:fill="auto"/>
        <w:bidi w:val="0"/>
        <w:jc w:val="both"/>
        <w:spacing w:before="0" w:after="0" w:line="260" w:lineRule="exact"/>
        <w:ind w:left="0" w:right="0" w:firstLine="700"/>
      </w:pPr>
      <w:r>
        <w:rPr>
          <w:lang w:val="ru-RU" w:eastAsia="ru-RU" w:bidi="ru-RU"/>
          <w:w w:val="100"/>
          <w:spacing w:val="0"/>
          <w:color w:val="000000"/>
          <w:position w:val="0"/>
        </w:rPr>
        <w:t>Второй этап: разработка рабочей документации:</w:t>
      </w:r>
    </w:p>
    <w:p>
      <w:pPr>
        <w:pStyle w:val="Style20"/>
        <w:widowControl w:val="0"/>
        <w:keepNext w:val="0"/>
        <w:keepLines w:val="0"/>
        <w:shd w:val="clear" w:color="auto" w:fill="auto"/>
        <w:bidi w:val="0"/>
        <w:jc w:val="both"/>
        <w:spacing w:before="0" w:after="0" w:line="307" w:lineRule="exact"/>
        <w:ind w:left="0" w:right="0" w:firstLine="700"/>
      </w:pPr>
      <w:r>
        <w:rPr>
          <w:lang w:val="ru-RU" w:eastAsia="ru-RU" w:bidi="ru-RU"/>
          <w:w w:val="100"/>
          <w:spacing w:val="0"/>
          <w:color w:val="000000"/>
          <w:position w:val="0"/>
        </w:rPr>
        <w:t>Состав рабочей документации:</w:t>
      </w:r>
    </w:p>
    <w:p>
      <w:pPr>
        <w:pStyle w:val="Style20"/>
        <w:numPr>
          <w:ilvl w:val="0"/>
          <w:numId w:val="9"/>
        </w:numPr>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 xml:space="preserve"> пояснительная записка, включающая описание технических (проектных) решений;</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чертежи размещения и установки оборудования системы;</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схема трасс прокладки линейной части;</w:t>
      </w:r>
    </w:p>
    <w:p>
      <w:pPr>
        <w:pStyle w:val="Style20"/>
        <w:numPr>
          <w:ilvl w:val="0"/>
          <w:numId w:val="9"/>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схема соединения оборудования системы с цифробуквенным обозначением блоков и разъемов (со спецификацией обозначений);</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схема расположения оборудования в аппаратных стойках;</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схема электропитания и заземления оборудования;</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спецификация технических и программно-технических средств;</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кабельный журнал;</w:t>
      </w:r>
    </w:p>
    <w:p>
      <w:pPr>
        <w:pStyle w:val="Style20"/>
        <w:numPr>
          <w:ilvl w:val="0"/>
          <w:numId w:val="9"/>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сметная документация.</w:t>
      </w:r>
    </w:p>
    <w:p>
      <w:pPr>
        <w:pStyle w:val="Style20"/>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Разработанная Подрядчиком рабочая документация на оснащение СВН в пунктах пропуска должна быть согласована с представителями Государственного заказчика и представителями Пограничных управлений ФСБ России в пунктах пропуска (в части мест установки камер видеонаблюдения), а на оснащение СВН в здании ФГКУ Росгранстрой с Государственным заказчиком.</w:t>
      </w:r>
    </w:p>
    <w:p>
      <w:pPr>
        <w:pStyle w:val="Style20"/>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Кроме того, сметная документация должна быть согласована Подрядчиком с Государственным заказчиком и представлена на негосударственную экспертизу. Подрядчиком должно быть получено положительное заключение по результатам проведения негосударственной экспертизы сметной стоимости.</w:t>
      </w:r>
    </w:p>
    <w:p>
      <w:pPr>
        <w:pStyle w:val="Style20"/>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Таким образом, с учетом содержащегося в техническом задании указания на нормативно-технические стандарты, регламентирующие формирование проектной и рабочей документации, также порядок работ, предусматривающий выполнение предпроектного обследования, результаты которого представляют содержат материалы в текстовой и графической формах и отражающий сведения о задачах, положений Градостроительного кодекса Российской Федерации, определяющих порядок выполнения инженерных изысканий и разработки проектно-сметной документации, указания на порядок разработки рабочей документации, экспертизы такой документации, а также пояснений Заказчика, что при разработке документации должны быть также соблюдены требования к составу разделов проектной документации и их содержанию, предусмотренные Постановлением Правительства РФ от 16.02.2008 № 87 «О составе разделов проектной документации и требованиях к их содержанию» Комиссия Управления приходит к выводу о том, что Заказчиком в нарушение ч.5 ст. 31, п. 12 ч. 1 ст. 42 Закона о контрактной системе не установлено требование к участникам закупки о членстве СРО в области архитектурно-строительного проектирования, что содержит признаки состава административного правонарушения, ответственность за которое предусмотрена ч.4 ст.7.30 Кодекса</w:t>
      </w:r>
    </w:p>
    <w:p>
      <w:pPr>
        <w:pStyle w:val="Style20"/>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Российской Федерации об административных правонарушениях.</w:t>
      </w:r>
    </w:p>
    <w:p>
      <w:pPr>
        <w:pStyle w:val="Style20"/>
        <w:numPr>
          <w:ilvl w:val="0"/>
          <w:numId w:val="1"/>
        </w:numPr>
        <w:tabs>
          <w:tab w:leader="none" w:pos="1038" w:val="left"/>
        </w:tabs>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Также в составе жалобы Заявитель указывает, что Заказчиком неправомерно установлено требование к участникам закупки о наличии действующей лицензии ФСТЭК на деятельность по технической защите конфиденциальной информации, поскольку предмет закупки и техническое задание не содержит требований, напрямую связанных с теми работами и услугами, которые предполагают наличие лицензии у участника закупки.</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Комиссией Управления установлено, что Заказчиком в пп.6 п.1 Требований к содержанию, составу заявки на участие в открытом конкурсе в электронной форме установлено требование к участникам закупки, в частности о предоставлении копии действующей лицензии ФСТЭК на деятельность по технической защите конфиденциальной информации, либо выписки с реестровой записью из реестра лицензий.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основании п.5 ч.1 ст.12 Федерального закона от 04.05.2011 № 99-ФЗ «О лицензировании отдельных видов деятельности» деятельность по технической защите конфиденциальной информации подлежит лицензированию.</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соответствии с п.2 Положения о лицензировании деятельности по технической защите конфиденциальной информации (далее — Положения о лицензировании), утвержденного постановлением Правительства Российской Федерации от 03.02.2012 № 79 «О лицензировании деятельности по технической защите конфиденциальной информации» под технической защитой конфиденциальной информации понимается выполнение работ и (или) оказание услуг по ее защите от несанкционированного доступа, от утечки по техническим каналам, а также от специальных воздействий на такую информацию в целях ее уничтожения, искажения или блокирования доступа к ней.</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согласно техническому заданию объектом закупки являются непосредственно работы по проектированию системы видеонаблюдения, а не работы по технической защите конфиденциальной информации.</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При этом в техническом задании отсутствуют технические средства защиты информации, защищенные технические средства обработки информации, технические средства контроля эффективности мер защиты информации, обслуживание которого подлежит лицензированию ФСТЭК.</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заседании Комиссии Управления представители Заказчика пояснили, что проектируемая система видеонаблюдения на въездах и выездах в автомобильных пунктах пропуска через государственную границу Российской Федерации, создается как составляющая часть информационной системы АС ИСП, задачей которой является обеспечение обмена информацией и данными, в том числе служебными и имеющими статус конфиденциальных, между федеральными органами исполнительной власти.</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Одновременно с этим, организация связи между подсистемами локального уровня на пунктах пропуска и федеральной подсистемой осуществляется посредством каналов сети интернет, с учетом требований по обеспечению информационной безопасности проектируемой системы, что свидетельствует о том, что участник закупки должен обладать необходимой компетенцией, подтвержденной лицензией ФСТЭК.</w:t>
      </w:r>
    </w:p>
    <w:p>
      <w:pPr>
        <w:pStyle w:val="Style20"/>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Комиссия Управления отмечает, что основным объектом закупки является предпроектное обследование и разработка рабочей документации, в рамках которого должна быть обеспечена техническая защита конфиденциальной информации.</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Вместе с тем согласно пояснениям представителя Заказчика все работы, предусмотренные технической частью документации, соотнесены с технической защитой конфиденциальной информации, так например, фактическое определение мест для установки оборудования.</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При этом Комиссия Управления отмечает, что данный вывод представителя Заказчика противоречит самому определению технической защиты информации, изложенному в Положении о лицензировании. Представителями Заказчика не представлено документов и сведений, однозначно свидетельствующих о том, что при выборе места для физической установки оборудования, опор стоек, фактически не подключенных к системе и не содержащих конфиденциальную информацию, будет возможен доступ к такой информации.</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свою очередь Комиссия Управления отмечает, что в случае если в закупку включены работы или услуги, для выполнения которых требуется наличие специальной правоспособности (в данном случае лицензия на осуществление деятельности по технической защите конфиденциальной информации), и которые не являются основным объектом закупки, ввиду чего могут выполняться (оказываться) посредством привлечения иных лиц (субподрядчиков), обладающих соответствующим заключением, то установление требования о предоставлении в составе заявки на участие в аукционе соответствующей лицензии является нарушением Закона о контрактной системе.</w:t>
      </w:r>
    </w:p>
    <w:p>
      <w:pPr>
        <w:pStyle w:val="Style20"/>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об обоснованности доводов жалобы и нарушении Заказчиком ч.6 ст.31, ч.3 ст.43 Закона о контрактной системе при установлении вышеуказанных требований о наличии оспариваемой лицензии у участников закупки и о представлении указанной лицензии в составе заявки, что свидетельствует о наличии признаков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widowControl w:val="0"/>
        <w:keepNext w:val="0"/>
        <w:keepLines w:val="0"/>
        <w:shd w:val="clear" w:color="auto" w:fill="auto"/>
        <w:bidi w:val="0"/>
        <w:jc w:val="both"/>
        <w:spacing w:before="0" w:after="0" w:line="302" w:lineRule="exact"/>
        <w:ind w:left="20" w:right="20" w:firstLine="700"/>
        <w:sectPr>
          <w:pgSz w:w="11909" w:h="16838"/>
          <w:pgMar w:top="1267" w:left="852" w:right="847" w:bottom="1099"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6"/>
        <w:widowControl w:val="0"/>
        <w:keepNext/>
        <w:keepLines/>
        <w:shd w:val="clear" w:color="auto" w:fill="auto"/>
        <w:bidi w:val="0"/>
        <w:spacing w:before="0" w:after="314" w:line="260" w:lineRule="exact"/>
        <w:ind w:left="40" w:right="0" w:firstLine="0"/>
      </w:pPr>
      <w:bookmarkStart w:id="1" w:name="bookmark1"/>
      <w:r>
        <w:rPr>
          <w:lang w:val="ru-RU" w:eastAsia="ru-RU" w:bidi="ru-RU"/>
          <w:w w:val="100"/>
          <w:spacing w:val="0"/>
          <w:color w:val="000000"/>
          <w:position w:val="0"/>
        </w:rPr>
        <w:t>Р Е Ш И Л А:</w:t>
      </w:r>
      <w:bookmarkEnd w:id="1"/>
    </w:p>
    <w:p>
      <w:pPr>
        <w:pStyle w:val="Style20"/>
        <w:numPr>
          <w:ilvl w:val="0"/>
          <w:numId w:val="11"/>
        </w:numPr>
        <w:widowControl w:val="0"/>
        <w:keepNext w:val="0"/>
        <w:keepLines w:val="0"/>
        <w:shd w:val="clear" w:color="auto" w:fill="auto"/>
        <w:bidi w:val="0"/>
        <w:jc w:val="both"/>
        <w:spacing w:before="0" w:after="0" w:line="307" w:lineRule="exact"/>
        <w:ind w:left="0" w:right="20" w:firstLine="640"/>
      </w:pPr>
      <w:r>
        <w:rPr>
          <w:lang w:val="ru-RU" w:eastAsia="ru-RU" w:bidi="ru-RU"/>
          <w:w w:val="100"/>
          <w:spacing w:val="0"/>
          <w:color w:val="000000"/>
          <w:position w:val="0"/>
        </w:rPr>
        <w:t xml:space="preserve"> Признать жалобу ООО «Спецстройбезопасность» на действия ФГКУ Росгранстрой обоснованной.</w:t>
      </w:r>
    </w:p>
    <w:p>
      <w:pPr>
        <w:pStyle w:val="Style20"/>
        <w:numPr>
          <w:ilvl w:val="0"/>
          <w:numId w:val="11"/>
        </w:numPr>
        <w:widowControl w:val="0"/>
        <w:keepNext w:val="0"/>
        <w:keepLines w:val="0"/>
        <w:shd w:val="clear" w:color="auto" w:fill="auto"/>
        <w:bidi w:val="0"/>
        <w:jc w:val="both"/>
        <w:spacing w:before="0" w:after="0" w:line="307" w:lineRule="exact"/>
        <w:ind w:left="0" w:right="0" w:firstLine="640"/>
      </w:pPr>
      <w:r>
        <w:rPr>
          <w:lang w:val="ru-RU" w:eastAsia="ru-RU" w:bidi="ru-RU"/>
          <w:w w:val="100"/>
          <w:spacing w:val="0"/>
          <w:color w:val="000000"/>
          <w:position w:val="0"/>
        </w:rPr>
        <w:t xml:space="preserve"> Признать в действиях Заказчика нарушение ч.5 ст. 31, п. 12 ч. 1 ст. 42,</w:t>
      </w:r>
    </w:p>
    <w:p>
      <w:pPr>
        <w:pStyle w:val="Style20"/>
        <w:numPr>
          <w:ilvl w:val="0"/>
          <w:numId w:val="13"/>
        </w:numPr>
        <w:tabs>
          <w:tab w:leader="none" w:pos="536" w:val="left"/>
        </w:tabs>
        <w:widowControl w:val="0"/>
        <w:keepNext w:val="0"/>
        <w:keepLines w:val="0"/>
        <w:shd w:val="clear" w:color="auto" w:fill="auto"/>
        <w:bidi w:val="0"/>
        <w:jc w:val="both"/>
        <w:spacing w:before="0" w:after="0" w:line="307" w:lineRule="exact"/>
        <w:ind w:left="0" w:right="0" w:firstLine="0"/>
      </w:pPr>
      <w:r>
        <w:rPr>
          <w:lang w:val="ru-RU" w:eastAsia="ru-RU" w:bidi="ru-RU"/>
          <w:w w:val="100"/>
          <w:spacing w:val="0"/>
          <w:color w:val="000000"/>
          <w:position w:val="0"/>
        </w:rPr>
        <w:t>ст.31, ч.3 ст.43 Закона о контрактной системе.</w:t>
      </w:r>
    </w:p>
    <w:p>
      <w:pPr>
        <w:pStyle w:val="Style20"/>
        <w:numPr>
          <w:ilvl w:val="0"/>
          <w:numId w:val="11"/>
        </w:numPr>
        <w:widowControl w:val="0"/>
        <w:keepNext w:val="0"/>
        <w:keepLines w:val="0"/>
        <w:shd w:val="clear" w:color="auto" w:fill="auto"/>
        <w:bidi w:val="0"/>
        <w:jc w:val="both"/>
        <w:spacing w:before="0" w:after="0" w:line="307" w:lineRule="exact"/>
        <w:ind w:left="0" w:right="20" w:firstLine="6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20"/>
        <w:numPr>
          <w:ilvl w:val="0"/>
          <w:numId w:val="11"/>
        </w:numPr>
        <w:widowControl w:val="0"/>
        <w:keepNext w:val="0"/>
        <w:keepLines w:val="0"/>
        <w:shd w:val="clear" w:color="auto" w:fill="auto"/>
        <w:bidi w:val="0"/>
        <w:jc w:val="both"/>
        <w:spacing w:before="0" w:after="304" w:line="307" w:lineRule="exact"/>
        <w:ind w:left="0" w:right="20" w:firstLine="6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jc w:val="both"/>
        <w:spacing w:before="0" w:after="28" w:line="302" w:lineRule="exact"/>
        <w:ind w:left="0" w:right="20" w:firstLine="6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20"/>
        <w:tabs>
          <w:tab w:leader="none" w:pos="9216" w:val="right"/>
          <w:tab w:leader="none" w:pos="1010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К.А.</w:t>
        <w:tab/>
        <w:t>Сомов</w:t>
      </w:r>
    </w:p>
    <w:p>
      <w:pPr>
        <w:pStyle w:val="Style20"/>
        <w:tabs>
          <w:tab w:leader="none" w:pos="8659" w:val="center"/>
          <w:tab w:leader="none" w:pos="1010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20"/>
        <w:widowControl w:val="0"/>
        <w:keepNext w:val="0"/>
        <w:keepLines w:val="0"/>
        <w:shd w:val="clear" w:color="auto" w:fill="auto"/>
        <w:bidi w:val="0"/>
        <w:jc w:val="right"/>
        <w:spacing w:before="0" w:after="1511" w:line="643" w:lineRule="exact"/>
        <w:ind w:left="0" w:right="120" w:firstLine="0"/>
      </w:pPr>
      <w:r>
        <w:rPr>
          <w:lang w:val="ru-RU" w:eastAsia="ru-RU" w:bidi="ru-RU"/>
          <w:w w:val="100"/>
          <w:spacing w:val="0"/>
          <w:color w:val="000000"/>
          <w:position w:val="0"/>
        </w:rPr>
        <w:t>Е.О. Сгибнев</w:t>
      </w:r>
    </w:p>
    <w:p>
      <w:pPr>
        <w:pStyle w:val="Style28"/>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type w:val="continuous"/>
      <w:pgSz w:w="11909" w:h="16838"/>
      <w:pgMar w:top="1269" w:left="852" w:right="852" w:bottom="7178"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5pt;margin-top:796.3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2022-37898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6.9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2022-37898</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4pt;margin-top:38.4pt;width:10.1pt;height:7.7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5"/>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6"/>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1"/>
      <w:szCs w:val="21"/>
      <w:rFonts w:ascii="Segoe UI" w:eastAsia="Segoe UI" w:hAnsi="Segoe UI" w:cs="Segoe UI"/>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6)_"/>
    <w:basedOn w:val="DefaultParagraphFont"/>
    <w:link w:val="Style28"/>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1"/>
      <w:szCs w:val="21"/>
      <w:rFonts w:ascii="Segoe UI" w:eastAsia="Segoe UI" w:hAnsi="Segoe UI" w:cs="Segoe UI"/>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1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center"/>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before="114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