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89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2pt;height:45pt;">
            <v:imagedata r:id="rId5" r:href="rId6"/>
          </v:shape>
        </w:pict>
      </w:r>
    </w:p>
    <w:p>
      <w:pPr>
        <w:widowControl w:val="0"/>
        <w:rPr>
          <w:sz w:val="2"/>
          <w:szCs w:val="2"/>
        </w:rPr>
      </w:pPr>
    </w:p>
    <w:p>
      <w:pPr>
        <w:pStyle w:val="Style3"/>
        <w:widowControl w:val="0"/>
        <w:keepNext w:val="0"/>
        <w:keepLines w:val="0"/>
        <w:shd w:val="clear" w:color="auto" w:fill="auto"/>
        <w:bidi w:val="0"/>
        <w:spacing w:before="77" w:after="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jc w:val="left"/>
        <w:spacing w:before="0" w:after="0" w:line="322" w:lineRule="exact"/>
        <w:ind w:left="20" w:right="0" w:firstLine="0"/>
      </w:pPr>
      <w:r>
        <w:rPr>
          <w:rStyle w:val="CharStyle5"/>
          <w:b/>
          <w:bCs/>
        </w:rPr>
        <w:t>Заявителю -</w:t>
      </w:r>
      <w:r>
        <w:rPr>
          <w:lang w:val="ru-RU" w:eastAsia="ru-RU" w:bidi="ru-RU"/>
          <w:w w:val="100"/>
          <w:spacing w:val="0"/>
          <w:color w:val="000000"/>
          <w:position w:val="0"/>
        </w:rPr>
        <w:t xml:space="preserve"> Обществу с ограниченной ответственностью «ТехноСейл»</w:t>
      </w:r>
    </w:p>
    <w:p>
      <w:pPr>
        <w:pStyle w:val="Style3"/>
        <w:widowControl w:val="0"/>
        <w:keepNext w:val="0"/>
        <w:keepLines w:val="0"/>
        <w:shd w:val="clear" w:color="auto" w:fill="auto"/>
        <w:bidi w:val="0"/>
        <w:jc w:val="left"/>
        <w:spacing w:before="0" w:after="0" w:line="322" w:lineRule="exact"/>
        <w:ind w:left="20" w:right="0" w:firstLine="0"/>
        <w:sectPr>
          <w:headerReference w:type="even" r:id="rId7"/>
          <w:headerReference w:type="default" r:id="rId8"/>
          <w:titlePg/>
          <w:footnotePr>
            <w:pos w:val="pageBottom"/>
            <w:numFmt w:val="decimal"/>
            <w:numRestart w:val="continuous"/>
          </w:footnotePr>
          <w:type w:val="continuous"/>
          <w:pgSz w:w="11909" w:h="16838"/>
          <w:pgMar w:top="577" w:left="1384" w:right="2066" w:bottom="505" w:header="0" w:footer="3" w:gutter="0"/>
          <w:rtlGutter w:val="0"/>
          <w:cols w:num="2" w:space="720" w:equalWidth="0">
            <w:col w:w="3629" w:space="571"/>
            <w:col w:w="4258"/>
          </w:cols>
          <w:noEndnote/>
          <w:docGrid w:linePitch="360"/>
        </w:sectPr>
      </w:pPr>
      <w:r>
        <w:rPr>
          <w:lang w:val="ru-RU" w:eastAsia="ru-RU" w:bidi="ru-RU"/>
          <w:w w:val="100"/>
          <w:spacing w:val="0"/>
          <w:color w:val="000000"/>
          <w:position w:val="0"/>
        </w:rPr>
        <w:t xml:space="preserve">129347, г. Москва, ул. Холмогорская, д.6, корп.2, стр.2, эт. 1, ком. 1 </w:t>
      </w:r>
      <w:r>
        <w:fldChar w:fldCharType="begin"/>
      </w:r>
      <w:r>
        <w:rPr>
          <w:color w:val="000000"/>
        </w:rPr>
        <w:instrText> HYPERLINK "mailto:rafikova.f@rbauto.ru" </w:instrText>
      </w:r>
      <w:r>
        <w:fldChar w:fldCharType="separate"/>
      </w:r>
      <w:r>
        <w:rPr>
          <w:rStyle w:val="Hyperlink"/>
          <w:lang w:val="en-US" w:eastAsia="en-US" w:bidi="en-US"/>
          <w:w w:val="100"/>
          <w:spacing w:val="0"/>
          <w:position w:val="0"/>
        </w:rPr>
        <w:t>rafikova.f@rbauto.ru</w:t>
      </w:r>
      <w:r>
        <w:fldChar w:fldCharType="end"/>
      </w:r>
    </w:p>
    <w:p>
      <w:pPr>
        <w:widowControl w:val="0"/>
        <w:spacing w:before="41" w:after="4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framePr w:w="3670" w:h="1032" w:wrap="around" w:hAnchor="margin" w:x="446" w:y="2438"/>
        <w:widowControl w:val="0"/>
        <w:keepNext w:val="0"/>
        <w:keepLines w:val="0"/>
        <w:shd w:val="clear" w:color="auto" w:fill="auto"/>
        <w:bidi w:val="0"/>
        <w:spacing w:before="0" w:after="0" w:line="254" w:lineRule="exact"/>
        <w:ind w:left="0" w:right="0" w:firstLine="0"/>
      </w:pPr>
      <w:r>
        <w:rPr>
          <w:rStyle w:val="CharStyle6"/>
          <w:b/>
          <w:bCs/>
          <w:spacing w:val="0"/>
        </w:rPr>
        <w:t>УПРАВЛЕНИЕ Федеральной антимонопольной службы по Республике Хакасия</w:t>
      </w:r>
    </w:p>
    <w:p>
      <w:pPr>
        <w:pStyle w:val="Style3"/>
        <w:widowControl w:val="0"/>
        <w:keepNext w:val="0"/>
        <w:keepLines w:val="0"/>
        <w:shd w:val="clear" w:color="auto" w:fill="auto"/>
        <w:bidi w:val="0"/>
        <w:jc w:val="both"/>
        <w:spacing w:before="0" w:after="0" w:line="317" w:lineRule="exact"/>
        <w:ind w:left="0" w:right="0" w:firstLine="0"/>
      </w:pPr>
      <w:r>
        <w:rPr>
          <w:rStyle w:val="CharStyle5"/>
          <w:b/>
          <w:bCs/>
        </w:rPr>
        <w:t>Субъектам контроля:</w:t>
      </w:r>
    </w:p>
    <w:p>
      <w:pPr>
        <w:pStyle w:val="Style3"/>
        <w:tabs>
          <w:tab w:leader="none" w:pos="4051" w:val="right"/>
        </w:tabs>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Уполномоченному органу -</w:t>
        <w:tab/>
        <w:t>'</w:t>
      </w:r>
    </w:p>
    <w:p>
      <w:pPr>
        <w:pStyle w:val="Style3"/>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Муниципальному казенному учреждению</w:t>
      </w:r>
    </w:p>
    <w:p>
      <w:pPr>
        <w:pStyle w:val="Style9"/>
        <w:widowControl w:val="0"/>
        <w:keepNext w:val="0"/>
        <w:keepLines w:val="0"/>
        <w:shd w:val="clear" w:color="auto" w:fill="auto"/>
        <w:bidi w:val="0"/>
        <w:spacing w:before="0" w:after="0" w:line="210" w:lineRule="exact"/>
        <w:ind w:left="0" w:right="0" w:firstLine="0"/>
      </w:pPr>
      <w:r>
        <w:rPr>
          <w:lang w:val="ru-RU" w:eastAsia="ru-RU" w:bidi="ru-RU"/>
          <w:w w:val="100"/>
          <w:spacing w:val="0"/>
          <w:color w:val="000000"/>
          <w:position w:val="0"/>
        </w:rPr>
        <w:t>ул. Вяткина, 3, г. Абакан, Республика Хакасия, 65501</w:t>
      </w:r>
      <w:r>
        <w:rPr>
          <w:rStyle w:val="CharStyle11"/>
          <w:b w:val="0"/>
          <w:bCs w:val="0"/>
        </w:rPr>
        <w:t>7</w:t>
      </w:r>
      <w:r>
        <w:rPr>
          <w:rStyle w:val="CharStyle12"/>
          <w:b/>
          <w:bCs/>
        </w:rPr>
        <w:t>^Центр организации закупок»</w:t>
      </w:r>
    </w:p>
    <w:p>
      <w:pPr>
        <w:pStyle w:val="Style9"/>
        <w:tabs>
          <w:tab w:leader="none" w:pos="4598" w:val="left"/>
        </w:tabs>
        <w:widowControl w:val="0"/>
        <w:keepNext w:val="0"/>
        <w:keepLines w:val="0"/>
        <w:shd w:val="clear" w:color="auto" w:fill="auto"/>
        <w:bidi w:val="0"/>
        <w:spacing w:before="0" w:after="0" w:line="293" w:lineRule="exact"/>
        <w:ind w:left="580" w:right="0" w:firstLine="0"/>
      </w:pPr>
      <w:r>
        <w:rPr>
          <w:lang w:val="ru-RU" w:eastAsia="ru-RU" w:bidi="ru-RU"/>
          <w:w w:val="100"/>
          <w:spacing w:val="0"/>
          <w:color w:val="000000"/>
          <w:position w:val="0"/>
        </w:rPr>
        <w:t>тел. (3902) 22-27-59, факс (3902) 22-62-55</w:t>
        <w:tab/>
      </w:r>
      <w:r>
        <w:rPr>
          <w:rStyle w:val="CharStyle12"/>
          <w:b/>
          <w:bCs/>
        </w:rPr>
        <w:t>655650, Республика Хакасия, Алтайский</w:t>
      </w:r>
    </w:p>
    <w:p>
      <w:pPr>
        <w:pStyle w:val="Style7"/>
        <w:framePr w:h="278" w:wrap="around" w:vAnchor="text" w:hAnchor="margin" w:x="103" w:y="217"/>
        <w:widowControl w:val="0"/>
        <w:keepNext w:val="0"/>
        <w:keepLines w:val="0"/>
        <w:shd w:val="clear" w:color="auto" w:fill="auto"/>
        <w:bidi w:val="0"/>
        <w:jc w:val="left"/>
        <w:spacing w:before="0" w:after="0" w:line="260" w:lineRule="exact"/>
        <w:ind w:left="40" w:right="0" w:firstLine="0"/>
      </w:pPr>
      <w:r>
        <w:rPr>
          <w:lang w:val="ru-RU" w:eastAsia="ru-RU" w:bidi="ru-RU"/>
          <w:spacing w:val="10"/>
          <w:color w:val="000000"/>
          <w:position w:val="0"/>
        </w:rPr>
        <w:t>01 ПОЛ 2022</w:t>
      </w:r>
    </w:p>
    <w:p>
      <w:pPr>
        <w:pStyle w:val="Style3"/>
        <w:tabs>
          <w:tab w:leader="none" w:pos="3206" w:val="left"/>
        </w:tabs>
        <w:widowControl w:val="0"/>
        <w:keepNext w:val="0"/>
        <w:keepLines w:val="0"/>
        <w:shd w:val="clear" w:color="auto" w:fill="auto"/>
        <w:bidi w:val="0"/>
        <w:jc w:val="both"/>
        <w:spacing w:before="0" w:after="0" w:line="293" w:lineRule="exact"/>
        <w:ind w:left="0" w:right="0" w:firstLine="0"/>
      </w:pPr>
      <w:r>
        <w:rPr>
          <w:rStyle w:val="CharStyle13"/>
          <w:b/>
          <w:bCs/>
        </w:rPr>
        <w:t xml:space="preserve">e-mail, </w:t>
      </w:r>
      <w:r>
        <w:fldChar w:fldCharType="begin"/>
      </w:r>
      <w:r>
        <w:rPr>
          <w:rStyle w:val="CharStyle13"/>
        </w:rPr>
        <w:instrText> HYPERLINK "mailto:tol9@fas.gov.ra" </w:instrText>
      </w:r>
      <w:r>
        <w:fldChar w:fldCharType="separate"/>
      </w:r>
      <w:r>
        <w:rPr>
          <w:rStyle w:val="Hyperlink"/>
          <w:b/>
          <w:bCs/>
        </w:rPr>
        <w:t>tol9@fas.gov.ru</w:t>
      </w:r>
      <w:r>
        <w:fldChar w:fldCharType="end"/>
      </w:r>
      <w:r>
        <w:rPr>
          <w:rStyle w:val="CharStyle13"/>
          <w:b/>
          <w:bCs/>
        </w:rPr>
        <w:tab/>
      </w:r>
      <w:r>
        <w:rPr>
          <w:lang w:val="ru-RU" w:eastAsia="ru-RU" w:bidi="ru-RU"/>
          <w:w w:val="100"/>
          <w:spacing w:val="0"/>
          <w:color w:val="000000"/>
          <w:position w:val="0"/>
        </w:rPr>
        <w:t>район, с: Белый Яр, ул. Ленина, 74</w:t>
      </w:r>
    </w:p>
    <w:p>
      <w:pPr>
        <w:pStyle w:val="Style3"/>
        <w:widowControl w:val="0"/>
        <w:keepNext w:val="0"/>
        <w:keepLines w:val="0"/>
        <w:shd w:val="clear" w:color="auto" w:fill="auto"/>
        <w:bidi w:val="0"/>
        <w:jc w:val="right"/>
        <w:spacing w:before="0" w:after="0" w:line="210" w:lineRule="exact"/>
        <w:ind w:left="0" w:right="0" w:firstLine="0"/>
        <w:sectPr>
          <w:type w:val="continuous"/>
          <w:pgSz w:w="11909" w:h="16838"/>
          <w:pgMar w:top="592" w:left="923" w:right="1777" w:bottom="520" w:header="0" w:footer="3" w:gutter="0"/>
          <w:rtlGutter w:val="0"/>
          <w:cols w:space="720"/>
          <w:noEndnote/>
          <w:docGrid w:linePitch="360"/>
        </w:sectPr>
      </w:pPr>
      <w:r>
        <w:fldChar w:fldCharType="begin"/>
      </w:r>
      <w:r>
        <w:rPr>
          <w:rStyle w:val="CharStyle5"/>
        </w:rPr>
        <w:instrText> HYPERLINK "mailto:arpstorgi@mail.ru" </w:instrText>
      </w:r>
      <w:r>
        <w:fldChar w:fldCharType="separate"/>
      </w:r>
      <w:r>
        <w:rPr>
          <w:rStyle w:val="Hyperlink"/>
          <w:lang w:val="en-US" w:eastAsia="en-US" w:bidi="en-US"/>
          <w:b/>
          <w:bCs/>
        </w:rPr>
        <w:t>a</w:t>
      </w:r>
      <w:r>
        <w:rPr>
          <w:rStyle w:val="Hyperlink"/>
          <w:lang w:val="en-US" w:eastAsia="en-US" w:bidi="en-US"/>
          <w:w w:val="100"/>
          <w:spacing w:val="0"/>
          <w:position w:val="0"/>
        </w:rPr>
        <w:t>rpstorgi@mail.ru</w:t>
      </w:r>
      <w:r>
        <w:fldChar w:fldCharType="end"/>
      </w:r>
    </w:p>
    <w:p>
      <w:pPr>
        <w:widowControl w:val="0"/>
        <w:spacing w:before="45" w:after="4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framePr w:h="170" w:wrap="around" w:hAnchor="margin" w:x="-4588" w:y="5174"/>
        <w:widowControl w:val="0"/>
        <w:keepNext w:val="0"/>
        <w:keepLines w:val="0"/>
        <w:shd w:val="clear" w:color="auto" w:fill="auto"/>
        <w:bidi w:val="0"/>
        <w:jc w:val="left"/>
        <w:spacing w:before="0" w:after="0" w:line="170" w:lineRule="exact"/>
        <w:ind w:left="0" w:right="0" w:firstLine="0"/>
      </w:pPr>
      <w:r>
        <w:rPr>
          <w:rStyle w:val="CharStyle14"/>
          <w:b/>
          <w:bCs/>
          <w:spacing w:val="0"/>
        </w:rPr>
        <w:t>На №_</w:t>
      </w:r>
    </w:p>
    <w:p>
      <w:pPr>
        <w:pStyle w:val="Style15"/>
        <w:framePr w:h="120" w:wrap="around" w:hAnchor="margin" w:x="-2385" w:y="5214"/>
        <w:widowControl w:val="0"/>
        <w:keepNext w:val="0"/>
        <w:keepLines w:val="0"/>
        <w:shd w:val="clear" w:color="auto" w:fill="auto"/>
        <w:bidi w:val="0"/>
        <w:jc w:val="left"/>
        <w:spacing w:before="0" w:after="0" w:line="120" w:lineRule="exact"/>
        <w:ind w:left="0" w:right="0" w:firstLine="0"/>
      </w:pPr>
      <w:r>
        <w:rPr>
          <w:lang w:val="ru-RU" w:eastAsia="ru-RU" w:bidi="ru-RU"/>
          <w:w w:val="100"/>
          <w:spacing w:val="0"/>
          <w:color w:val="000000"/>
          <w:position w:val="0"/>
        </w:rPr>
        <w:t>-ОТ-</w:t>
      </w:r>
    </w:p>
    <w:p>
      <w:pPr>
        <w:pStyle w:val="Style3"/>
        <w:widowControl w:val="0"/>
        <w:keepNext w:val="0"/>
        <w:keepLines w:val="0"/>
        <w:shd w:val="clear" w:color="auto" w:fill="auto"/>
        <w:bidi w:val="0"/>
        <w:jc w:val="left"/>
        <w:spacing w:before="0" w:after="244" w:line="317" w:lineRule="exact"/>
        <w:ind w:left="80" w:right="220" w:firstLine="0"/>
      </w:pPr>
      <w:r>
        <w:rPr>
          <w:lang w:val="ru-RU" w:eastAsia="ru-RU" w:bidi="ru-RU"/>
          <w:w w:val="100"/>
          <w:spacing w:val="0"/>
          <w:color w:val="000000"/>
          <w:position w:val="0"/>
        </w:rPr>
        <w:t xml:space="preserve">“Муниципальному заказчику - Администрации муниципального образования Очурский сельсовет Алтайского района Республики Хакасия 655674, Республика Хакасия, Алтайский район, село Очуры, улица Советская, 113 </w:t>
      </w:r>
      <w:r>
        <w:fldChar w:fldCharType="begin"/>
      </w:r>
      <w:r>
        <w:rPr>
          <w:color w:val="000000"/>
        </w:rPr>
        <w:instrText> HYPERLINK "mailto:ochur_sov@mail.ru" </w:instrText>
      </w:r>
      <w:r>
        <w:fldChar w:fldCharType="separate"/>
      </w:r>
      <w:r>
        <w:rPr>
          <w:rStyle w:val="Hyperlink"/>
          <w:lang w:val="en-US" w:eastAsia="en-US" w:bidi="en-US"/>
          <w:w w:val="100"/>
          <w:spacing w:val="0"/>
          <w:position w:val="0"/>
        </w:rPr>
        <w:t>ochur_sov@mail.ru</w:t>
      </w:r>
      <w:r>
        <w:fldChar w:fldCharType="end"/>
      </w:r>
    </w:p>
    <w:p>
      <w:pPr>
        <w:pStyle w:val="Style3"/>
        <w:widowControl w:val="0"/>
        <w:keepNext w:val="0"/>
        <w:keepLines w:val="0"/>
        <w:shd w:val="clear" w:color="auto" w:fill="auto"/>
        <w:bidi w:val="0"/>
        <w:jc w:val="left"/>
        <w:spacing w:before="0" w:after="0" w:line="312" w:lineRule="exact"/>
        <w:ind w:left="80" w:right="1140" w:firstLine="0"/>
        <w:sectPr>
          <w:type w:val="continuous"/>
          <w:pgSz w:w="11909" w:h="16838"/>
          <w:pgMar w:top="592" w:left="5507" w:right="1446" w:bottom="520" w:header="0" w:footer="3" w:gutter="0"/>
          <w:rtlGutter w:val="0"/>
          <w:cols w:space="720"/>
          <w:noEndnote/>
          <w:docGrid w:linePitch="360"/>
        </w:sectPr>
      </w:pPr>
      <w:r>
        <w:rPr>
          <w:lang w:val="ru-RU" w:eastAsia="ru-RU" w:bidi="ru-RU"/>
          <w:w w:val="100"/>
          <w:spacing w:val="0"/>
          <w:color w:val="000000"/>
          <w:position w:val="0"/>
        </w:rPr>
        <w:t xml:space="preserve">Оператору электронной площадки - ООО «РТС-тендер»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before="80" w:after="8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634" w:line="210" w:lineRule="exact"/>
        <w:ind w:left="4440" w:right="0" w:firstLine="0"/>
      </w:pPr>
      <w:r>
        <w:rPr>
          <w:lang w:val="ru-RU" w:eastAsia="ru-RU" w:bidi="ru-RU"/>
          <w:w w:val="100"/>
          <w:spacing w:val="0"/>
          <w:color w:val="000000"/>
          <w:position w:val="0"/>
        </w:rPr>
        <w:t>Извещение № 0880300004122000145</w:t>
      </w:r>
    </w:p>
    <w:p>
      <w:pPr>
        <w:pStyle w:val="Style17"/>
        <w:widowControl w:val="0"/>
        <w:keepNext/>
        <w:keepLines/>
        <w:shd w:val="clear" w:color="auto" w:fill="auto"/>
        <w:bidi w:val="0"/>
        <w:spacing w:before="0" w:after="388"/>
        <w:ind w:left="680" w:right="0" w:firstLine="0"/>
      </w:pPr>
      <w:bookmarkStart w:id="0" w:name="bookmark0"/>
      <w:r>
        <w:rPr>
          <w:rStyle w:val="CharStyle19"/>
          <w:b/>
          <w:bCs/>
        </w:rPr>
        <w:t xml:space="preserve">РЕШЕНИЕ </w:t>
      </w:r>
      <w:r>
        <w:rPr>
          <w:lang w:val="ru-RU" w:eastAsia="ru-RU" w:bidi="ru-RU"/>
          <w:w w:val="100"/>
          <w:spacing w:val="0"/>
          <w:color w:val="000000"/>
          <w:position w:val="0"/>
        </w:rPr>
        <w:t>по жалобе № 019/06/106-365/2022</w:t>
      </w:r>
      <w:bookmarkEnd w:id="0"/>
    </w:p>
    <w:p>
      <w:pPr>
        <w:pStyle w:val="Style20"/>
        <w:tabs>
          <w:tab w:leader="none" w:pos="8516" w:val="center"/>
          <w:tab w:leader="none" w:pos="8516" w:val="center"/>
        </w:tabs>
        <w:widowControl w:val="0"/>
        <w:keepNext w:val="0"/>
        <w:keepLines w:val="0"/>
        <w:shd w:val="clear" w:color="auto" w:fill="auto"/>
        <w:bidi w:val="0"/>
        <w:spacing w:before="0" w:after="343" w:line="260" w:lineRule="exact"/>
        <w:ind w:left="20" w:right="0" w:firstLine="0"/>
      </w:pPr>
      <w:r>
        <w:rPr>
          <w:lang w:val="ru-RU" w:eastAsia="ru-RU" w:bidi="ru-RU"/>
          <w:w w:val="100"/>
          <w:spacing w:val="0"/>
          <w:color w:val="000000"/>
          <w:position w:val="0"/>
        </w:rPr>
        <w:t>«29» июня 2022 года</w:t>
        <w:tab/>
        <w:t>г.</w:t>
        <w:tab/>
        <w:t>Абакан</w:t>
      </w:r>
    </w:p>
    <w:p>
      <w:pPr>
        <w:pStyle w:val="Style20"/>
        <w:widowControl w:val="0"/>
        <w:keepNext w:val="0"/>
        <w:keepLines w:val="0"/>
        <w:shd w:val="clear" w:color="auto" w:fill="auto"/>
        <w:bidi w:val="0"/>
        <w:jc w:val="left"/>
        <w:spacing w:before="0" w:after="0" w:line="370" w:lineRule="exact"/>
        <w:ind w:left="20" w:right="760" w:firstLine="580"/>
      </w:pPr>
      <w:r>
        <w:rPr>
          <w:lang w:val="ru-RU" w:eastAsia="ru-RU" w:bidi="ru-RU"/>
          <w:w w:val="100"/>
          <w:spacing w:val="0"/>
          <w:color w:val="000000"/>
          <w:position w:val="0"/>
        </w:rPr>
        <w:t>Комиссия Управления Федеральной антимонопольной службы по Республике Хакасия по контролю закупок (далее - Комиссия) в составе: Председателя комиссии - Широковой О.В., врио руководителя;</w:t>
      </w:r>
    </w:p>
    <w:p>
      <w:pPr>
        <w:pStyle w:val="Style20"/>
        <w:tabs>
          <w:tab w:leader="none" w:pos="4950" w:val="right"/>
          <w:tab w:leader="none" w:pos="5362" w:val="center"/>
          <w:tab w:leader="none" w:pos="6476" w:val="center"/>
          <w:tab w:leader="none" w:pos="8034" w:val="right"/>
          <w:tab w:leader="none" w:pos="9303" w:val="right"/>
        </w:tabs>
        <w:widowControl w:val="0"/>
        <w:keepNext w:val="0"/>
        <w:keepLines w:val="0"/>
        <w:shd w:val="clear" w:color="auto" w:fill="auto"/>
        <w:bidi w:val="0"/>
        <w:spacing w:before="0" w:after="0" w:line="365" w:lineRule="exact"/>
        <w:ind w:left="20" w:right="0" w:firstLine="0"/>
      </w:pPr>
      <w:r>
        <w:rPr>
          <w:lang w:val="ru-RU" w:eastAsia="ru-RU" w:bidi="ru-RU"/>
          <w:w w:val="100"/>
          <w:spacing w:val="0"/>
          <w:color w:val="000000"/>
          <w:position w:val="0"/>
        </w:rPr>
        <w:t>Членов комиссии:</w:t>
        <w:tab/>
        <w:t>Ожиговой</w:t>
        <w:tab/>
        <w:t>Е.Н.,</w:t>
        <w:tab/>
        <w:t>начальника</w:t>
        <w:tab/>
        <w:t>отдела</w:t>
        <w:tab/>
        <w:t>контроля</w:t>
      </w:r>
    </w:p>
    <w:p>
      <w:pPr>
        <w:pStyle w:val="Style20"/>
        <w:widowControl w:val="0"/>
        <w:keepNext w:val="0"/>
        <w:keepLines w:val="0"/>
        <w:shd w:val="clear" w:color="auto" w:fill="auto"/>
        <w:bidi w:val="0"/>
        <w:spacing w:before="0" w:after="0" w:line="365" w:lineRule="exact"/>
        <w:ind w:left="3720" w:right="580" w:firstLine="0"/>
      </w:pPr>
      <w:r>
        <w:rPr>
          <w:lang w:val="ru-RU" w:eastAsia="ru-RU" w:bidi="ru-RU"/>
          <w:w w:val="100"/>
          <w:spacing w:val="0"/>
          <w:color w:val="000000"/>
          <w:position w:val="0"/>
        </w:rPr>
        <w:t>закупок и антимонопольного контроля органов власти,</w:t>
      </w:r>
    </w:p>
    <w:p>
      <w:pPr>
        <w:pStyle w:val="Style20"/>
        <w:widowControl w:val="0"/>
        <w:keepNext w:val="0"/>
        <w:keepLines w:val="0"/>
        <w:shd w:val="clear" w:color="auto" w:fill="auto"/>
        <w:bidi w:val="0"/>
        <w:spacing w:before="0" w:after="324" w:line="365" w:lineRule="exact"/>
        <w:ind w:left="3720" w:right="580" w:firstLine="0"/>
      </w:pPr>
      <w:r>
        <w:rPr>
          <w:lang w:val="ru-RU" w:eastAsia="ru-RU" w:bidi="ru-RU"/>
          <w:w w:val="100"/>
          <w:spacing w:val="0"/>
          <w:color w:val="000000"/>
          <w:position w:val="0"/>
        </w:rPr>
        <w:t>Сизова К.А., главного специалиста - эксперта отдела контроля закупок и антимонопольного контроля органов власти,</w:t>
      </w:r>
    </w:p>
    <w:p>
      <w:pPr>
        <w:pStyle w:val="Style20"/>
        <w:widowControl w:val="0"/>
        <w:keepNext w:val="0"/>
        <w:keepLines w:val="0"/>
        <w:shd w:val="clear" w:color="auto" w:fill="auto"/>
        <w:bidi w:val="0"/>
        <w:jc w:val="right"/>
        <w:spacing w:before="0" w:after="0" w:line="260" w:lineRule="exact"/>
        <w:ind w:left="0" w:right="220" w:firstLine="0"/>
      </w:pPr>
      <w:r>
        <w:rPr>
          <w:rStyle w:val="CharStyle22"/>
        </w:rPr>
        <w:t>110699</w:t>
      </w:r>
      <w:r>
        <w:br w:type="page"/>
      </w:r>
    </w:p>
    <w:p>
      <w:pPr>
        <w:pStyle w:val="Style23"/>
        <w:widowControl w:val="0"/>
        <w:keepNext w:val="0"/>
        <w:keepLines w:val="0"/>
        <w:shd w:val="clear" w:color="auto" w:fill="auto"/>
        <w:bidi w:val="0"/>
        <w:spacing w:before="0" w:after="0"/>
        <w:ind w:left="40" w:right="0"/>
      </w:pPr>
      <w:r>
        <w:rPr>
          <w:lang w:val="ru-RU" w:eastAsia="ru-RU" w:bidi="ru-RU"/>
          <w:w w:val="100"/>
          <w:spacing w:val="0"/>
          <w:color w:val="000000"/>
          <w:position w:val="0"/>
        </w:rPr>
        <w:t>при участии представителя:</w:t>
      </w:r>
    </w:p>
    <w:p>
      <w:pPr>
        <w:pStyle w:val="Style20"/>
        <w:widowControl w:val="0"/>
        <w:keepNext w:val="0"/>
        <w:keepLines w:val="0"/>
        <w:shd w:val="clear" w:color="auto" w:fill="auto"/>
        <w:bidi w:val="0"/>
        <w:spacing w:before="0" w:after="0" w:line="370" w:lineRule="exact"/>
        <w:ind w:left="40" w:right="40" w:firstLine="580"/>
      </w:pPr>
      <w:r>
        <w:rPr>
          <w:rStyle w:val="CharStyle28"/>
        </w:rPr>
        <w:t>муниципального Заказчика -</w:t>
      </w:r>
      <w:r>
        <w:rPr>
          <w:lang w:val="ru-RU" w:eastAsia="ru-RU" w:bidi="ru-RU"/>
          <w:w w:val="100"/>
          <w:spacing w:val="0"/>
          <w:color w:val="000000"/>
          <w:position w:val="0"/>
        </w:rPr>
        <w:t xml:space="preserve"> Администрации муниципального образования Очурский сельсовет Алтайского района Республики Хакасия (далее - Заказчик, Администрация):</w:t>
      </w:r>
    </w:p>
    <w:p>
      <w:pPr>
        <w:pStyle w:val="Style20"/>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 Гамаюновой Елены Сергеевны, на основании доверенности б/н от 27.06.2022;</w:t>
      </w:r>
    </w:p>
    <w:p>
      <w:pPr>
        <w:pStyle w:val="Style20"/>
        <w:widowControl w:val="0"/>
        <w:keepNext w:val="0"/>
        <w:keepLines w:val="0"/>
        <w:shd w:val="clear" w:color="auto" w:fill="auto"/>
        <w:bidi w:val="0"/>
        <w:spacing w:before="0" w:after="0" w:line="370" w:lineRule="exact"/>
        <w:ind w:left="40" w:right="40" w:firstLine="580"/>
      </w:pPr>
      <w:r>
        <w:rPr>
          <w:rStyle w:val="CharStyle28"/>
        </w:rPr>
        <w:t xml:space="preserve">без участия представителей уполномоченного органа - </w:t>
      </w:r>
      <w:r>
        <w:rPr>
          <w:lang w:val="ru-RU" w:eastAsia="ru-RU" w:bidi="ru-RU"/>
          <w:w w:val="100"/>
          <w:spacing w:val="0"/>
          <w:color w:val="000000"/>
          <w:position w:val="0"/>
        </w:rPr>
        <w:t xml:space="preserve">Муниципального казенного учреждения «Центр организации закупок» (далее - МКУ «ЦОЗ», уполномоченный орган), </w:t>
      </w:r>
      <w:r>
        <w:rPr>
          <w:rStyle w:val="CharStyle28"/>
        </w:rPr>
        <w:t>Заявителя -</w:t>
      </w:r>
      <w:r>
        <w:rPr>
          <w:lang w:val="ru-RU" w:eastAsia="ru-RU" w:bidi="ru-RU"/>
          <w:w w:val="100"/>
          <w:spacing w:val="0"/>
          <w:color w:val="000000"/>
          <w:position w:val="0"/>
        </w:rPr>
        <w:t xml:space="preserve"> Общества с ограниченной ответственностью «ТехноСейл» (далее - Заявитель, Общество, ООО «ТехноСейл»), извещенных надлежащим образом о времени и месте рассмотрения жалобы,</w:t>
      </w:r>
    </w:p>
    <w:p>
      <w:pPr>
        <w:pStyle w:val="Style20"/>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рассмотрев посредством видеоконференцсвязи жалобу ООО «ТехноСейл» на действия комиссии по осуществлению закупок при проведении электронного аукциона на приобретение трактора Беларус МТЗ-82.1 или эквивалент (извещение № 0880300004122000145)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29"/>
        <w:widowControl w:val="0"/>
        <w:keepNext/>
        <w:keepLines/>
        <w:shd w:val="clear" w:color="auto" w:fill="auto"/>
        <w:bidi w:val="0"/>
        <w:spacing w:before="0" w:after="300"/>
        <w:ind w:left="0" w:right="0" w:firstLine="0"/>
      </w:pPr>
      <w:bookmarkStart w:id="1" w:name="bookmark1"/>
      <w:r>
        <w:rPr>
          <w:lang w:val="ru-RU" w:eastAsia="ru-RU" w:bidi="ru-RU"/>
          <w:w w:val="100"/>
          <w:spacing w:val="0"/>
          <w:color w:val="000000"/>
          <w:position w:val="0"/>
        </w:rPr>
        <w:t>УСТАНОВИЛА:</w:t>
      </w:r>
      <w:bookmarkEnd w:id="1"/>
    </w:p>
    <w:p>
      <w:pPr>
        <w:pStyle w:val="Style20"/>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В Хакасское У ФАС России поступила жалоба Заявителя на действия комиссии по осуществлению закупок Уполномоченного органа при проведении Аукциона.</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По мнению Заявителя, его права и законные интересы нарушены действиями комиссии уполномоченного органа неправомерно принявшей решение об отклонении заявки ООО «ТехноСейл».</w:t>
      </w:r>
    </w:p>
    <w:p>
      <w:pPr>
        <w:pStyle w:val="Style20"/>
        <w:widowControl w:val="0"/>
        <w:keepNext w:val="0"/>
        <w:keepLines w:val="0"/>
        <w:shd w:val="clear" w:color="auto" w:fill="auto"/>
        <w:bidi w:val="0"/>
        <w:spacing w:before="0" w:after="300" w:line="374" w:lineRule="exact"/>
        <w:ind w:left="20" w:right="20" w:firstLine="580"/>
      </w:pPr>
      <w:r>
        <w:rPr>
          <w:lang w:val="ru-RU" w:eastAsia="ru-RU" w:bidi="ru-RU"/>
          <w:w w:val="100"/>
          <w:spacing w:val="0"/>
          <w:color w:val="000000"/>
          <w:position w:val="0"/>
        </w:rPr>
        <w:t>На рассмотрении жалобы представитель Заказчика не согласился с доводами Заявителя, представив в материалы дела письменные пояснения, запрашиваемые документы и сообщил, что при проведении Аукциона Заказчик, Уполномоченный орган и его комиссия действовали в соответствии с положениями Закона о контрактной системе.</w:t>
      </w:r>
    </w:p>
    <w:p>
      <w:pPr>
        <w:pStyle w:val="Style23"/>
        <w:widowControl w:val="0"/>
        <w:keepNext w:val="0"/>
        <w:keepLines w:val="0"/>
        <w:shd w:val="clear" w:color="auto" w:fill="auto"/>
        <w:bidi w:val="0"/>
        <w:spacing w:before="0" w:after="0" w:line="374" w:lineRule="exact"/>
        <w:ind w:left="20" w:right="2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20"/>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извещение об осуществлении закупки размещено в ЕИС - 10.06.2022;</w:t>
      </w:r>
    </w:p>
    <w:p>
      <w:pPr>
        <w:pStyle w:val="Style20"/>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начальная (максимальная) цена контракта - 2 740 333,33 рублей;</w:t>
      </w:r>
    </w:p>
    <w:p>
      <w:pPr>
        <w:pStyle w:val="Style20"/>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источник финансирования - Бюджет муниципального образования Очурский сельсовет (КБК 34105032400500000244);</w:t>
      </w:r>
    </w:p>
    <w:p>
      <w:pPr>
        <w:pStyle w:val="Style20"/>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способ определения поставщика (подрядчика, исполнителя) - Аукцион;</w:t>
      </w:r>
    </w:p>
    <w:p>
      <w:pPr>
        <w:pStyle w:val="Style20"/>
        <w:numPr>
          <w:ilvl w:val="0"/>
          <w:numId w:val="1"/>
        </w:numPr>
        <w:tabs>
          <w:tab w:leader="none" w:pos="1618" w:val="left"/>
        </w:tabs>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извещение об аукционе в электронной форме от 10.06.2022, а также заявка №</w:t>
        <w:tab/>
        <w:t>2 от 09.06.2022 на размещение закупки утверждены</w:t>
      </w:r>
    </w:p>
    <w:p>
      <w:pPr>
        <w:pStyle w:val="Style20"/>
        <w:tabs>
          <w:tab w:leader="none" w:pos="4724" w:val="left"/>
          <w:tab w:leader="none" w:pos="7182" w:val="left"/>
        </w:tabs>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 xml:space="preserve">представителем Заказчика - Тальянским </w:t>
      </w:r>
      <w:r>
        <w:rPr>
          <w:lang w:val="en-US" w:eastAsia="en-US" w:bidi="en-US"/>
          <w:w w:val="100"/>
          <w:spacing w:val="0"/>
          <w:color w:val="000000"/>
          <w:position w:val="0"/>
        </w:rPr>
        <w:t xml:space="preserve">A.JI. </w:t>
      </w:r>
      <w:r>
        <w:rPr>
          <w:lang w:val="ru-RU" w:eastAsia="ru-RU" w:bidi="ru-RU"/>
          <w:w w:val="100"/>
          <w:spacing w:val="0"/>
          <w:color w:val="000000"/>
          <w:position w:val="0"/>
        </w:rPr>
        <w:t>(в соответствии с Порядком взаимодействия, утвержденного</w:t>
        <w:tab/>
        <w:t>постановлением</w:t>
        <w:tab/>
        <w:t>администрации</w:t>
      </w:r>
    </w:p>
    <w:p>
      <w:pPr>
        <w:pStyle w:val="Style20"/>
        <w:widowControl w:val="0"/>
        <w:keepNext w:val="0"/>
        <w:keepLines w:val="0"/>
        <w:shd w:val="clear" w:color="auto" w:fill="auto"/>
        <w:bidi w:val="0"/>
        <w:spacing w:before="0" w:after="0" w:line="370" w:lineRule="exact"/>
        <w:ind w:left="20" w:right="0" w:firstLine="0"/>
      </w:pPr>
      <w:r>
        <w:rPr>
          <w:lang w:val="ru-RU" w:eastAsia="ru-RU" w:bidi="ru-RU"/>
          <w:w w:val="100"/>
          <w:spacing w:val="0"/>
          <w:color w:val="000000"/>
          <w:position w:val="0"/>
        </w:rPr>
        <w:t>Алтайского района от 27.12.2019 № 802);</w:t>
      </w:r>
    </w:p>
    <w:p>
      <w:pPr>
        <w:pStyle w:val="Style20"/>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и время начала подачи заявок 10.06.2022 11:13;</w:t>
      </w:r>
    </w:p>
    <w:p>
      <w:pPr>
        <w:pStyle w:val="Style20"/>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и время окончания срока подачи заявок 20.06.2022 10:00;</w:t>
      </w:r>
    </w:p>
    <w:p>
      <w:pPr>
        <w:pStyle w:val="Style20"/>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дата проведения процедуры подачи предложений о цене контракта либо о сумме цен единиц товара, работы, услуги 20.06.2022;</w:t>
      </w:r>
    </w:p>
    <w:p>
      <w:pPr>
        <w:pStyle w:val="Style20"/>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дата подведения итогов определения поставщика (подрядчика, исполнителя) 22.06.2022;</w:t>
      </w:r>
    </w:p>
    <w:p>
      <w:pPr>
        <w:pStyle w:val="Style20"/>
        <w:numPr>
          <w:ilvl w:val="0"/>
          <w:numId w:val="1"/>
        </w:numPr>
        <w:tabs>
          <w:tab w:leader="none" w:pos="4724" w:val="left"/>
          <w:tab w:leader="none" w:pos="7182" w:val="left"/>
        </w:tabs>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в соответствии с Протоколом подачи ценовых предложений от 20.06.2022 №ЦПА1 ценовые предложения подали 6 (шесть) участников, лучшее ценовое предложение</w:t>
        <w:tab/>
        <w:t>поступило от</w:t>
        <w:tab/>
        <w:t>участника с</w:t>
      </w:r>
    </w:p>
    <w:p>
      <w:pPr>
        <w:pStyle w:val="Style20"/>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идентификационным номером заявки 12121689 - 2 630 719,97 руб. (снижение НМЦК - 4,0%);</w:t>
      </w:r>
    </w:p>
    <w:p>
      <w:pPr>
        <w:pStyle w:val="Style20"/>
        <w:numPr>
          <w:ilvl w:val="0"/>
          <w:numId w:val="1"/>
        </w:numPr>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 xml:space="preserve"> согласно Протокола подведения итогов определения поставщика (подрядчика, исполнителя) от 22.06.2022 №ИЭА1 комиссией по осуществлению закупок уполномоченного органа приняты следующие решения в отношении заявок участников с идентификационными номерами:</w:t>
      </w:r>
    </w:p>
    <w:p>
      <w:pPr>
        <w:pStyle w:val="Style20"/>
        <w:numPr>
          <w:ilvl w:val="0"/>
          <w:numId w:val="3"/>
        </w:numPr>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 xml:space="preserve"> 112121689 отклонена: участник закупки приложил выписку из реестра российской промышленной продукции, срок которой истек 23.05.2022г. Предоставленный документ не подтверждает страну происхождения предполагаемого к поставке товара. Между тем, при наличии недействительной выписки заказчик не сможет выполнить требования </w:t>
      </w:r>
      <w:r>
        <w:rPr>
          <w:rStyle w:val="CharStyle31"/>
        </w:rPr>
        <w:t xml:space="preserve">1111 </w:t>
      </w:r>
      <w:r>
        <w:rPr>
          <w:lang w:val="ru-RU" w:eastAsia="ru-RU" w:bidi="ru-RU"/>
          <w:w w:val="100"/>
          <w:spacing w:val="0"/>
          <w:color w:val="000000"/>
          <w:position w:val="0"/>
        </w:rPr>
        <w:t>РФ от 30.04.2020 № 616. Непредставление документов, предусмотренных пунктом 5 части 1 статьи 43 Закона о контрактной системе (отклонение по пункту 5 части 12 статьи 48 Закона о контрактной системе);</w:t>
      </w:r>
    </w:p>
    <w:p>
      <w:pPr>
        <w:pStyle w:val="Style20"/>
        <w:numPr>
          <w:ilvl w:val="0"/>
          <w:numId w:val="3"/>
        </w:numPr>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 xml:space="preserve"> 112121079 (Заявитель) отклонена: участник закупки в описании объекта не указал характеристику (в том числе конкретную) на «мощность, кВт».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пунктами 2 и 3 части 6 статьи 43 Закона о контрактной системе) (отклонение по пункту 1 части 12 статьи 48 Закона о контрактной системе).</w:t>
      </w:r>
    </w:p>
    <w:p>
      <w:pPr>
        <w:pStyle w:val="Style20"/>
        <w:numPr>
          <w:ilvl w:val="0"/>
          <w:numId w:val="3"/>
        </w:numPr>
        <w:tabs>
          <w:tab w:leader="none" w:pos="1018" w:val="left"/>
          <w:tab w:leader="none" w:pos="2626" w:val="left"/>
          <w:tab w:leader="none" w:pos="4239" w:val="left"/>
          <w:tab w:leader="none" w:pos="5852" w:val="left"/>
        </w:tabs>
        <w:widowControl w:val="0"/>
        <w:keepNext w:val="0"/>
        <w:keepLines w:val="0"/>
        <w:shd w:val="clear" w:color="auto" w:fill="auto"/>
        <w:bidi w:val="0"/>
        <w:spacing w:before="0" w:after="0" w:line="370" w:lineRule="exact"/>
        <w:ind w:left="40" w:right="0" w:firstLine="580"/>
      </w:pPr>
      <w:r>
        <w:rPr>
          <w:lang w:val="ru-RU" w:eastAsia="ru-RU" w:bidi="ru-RU"/>
          <w:w w:val="100"/>
          <w:spacing w:val="0"/>
          <w:color w:val="000000"/>
          <w:position w:val="0"/>
        </w:rPr>
        <w:t>112124000,</w:t>
        <w:tab/>
        <w:t>112126305,</w:t>
        <w:tab/>
        <w:t>112121433,</w:t>
        <w:tab/>
        <w:t>112116603 соответствуют</w:t>
      </w:r>
    </w:p>
    <w:p>
      <w:pPr>
        <w:pStyle w:val="Style20"/>
        <w:widowControl w:val="0"/>
        <w:keepNext w:val="0"/>
        <w:keepLines w:val="0"/>
        <w:shd w:val="clear" w:color="auto" w:fill="auto"/>
        <w:bidi w:val="0"/>
        <w:jc w:val="left"/>
        <w:spacing w:before="0" w:after="0" w:line="370" w:lineRule="exact"/>
        <w:ind w:left="40" w:right="0" w:firstLine="0"/>
      </w:pPr>
      <w:r>
        <w:rPr>
          <w:lang w:val="ru-RU" w:eastAsia="ru-RU" w:bidi="ru-RU"/>
          <w:w w:val="100"/>
          <w:spacing w:val="0"/>
          <w:color w:val="000000"/>
          <w:position w:val="0"/>
        </w:rPr>
        <w:t>установленным требованиям.</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По результатам подведения итогов определения поставщика (подрядчика, исполнителя) Победителем аукциона признается участник закупки идентификационный номер заявки 112124000, с ценовым предложением 2 644 421,64 руб.</w:t>
      </w:r>
    </w:p>
    <w:p>
      <w:pPr>
        <w:pStyle w:val="Style20"/>
        <w:numPr>
          <w:ilvl w:val="0"/>
          <w:numId w:val="1"/>
        </w:numPr>
        <w:widowControl w:val="0"/>
        <w:keepNext w:val="0"/>
        <w:keepLines w:val="0"/>
        <w:shd w:val="clear" w:color="auto" w:fill="auto"/>
        <w:bidi w:val="0"/>
        <w:spacing w:before="0" w:after="360" w:line="370" w:lineRule="exact"/>
        <w:ind w:left="40" w:right="0" w:firstLine="580"/>
      </w:pPr>
      <w:r>
        <w:rPr>
          <w:lang w:val="ru-RU" w:eastAsia="ru-RU" w:bidi="ru-RU"/>
          <w:w w:val="100"/>
          <w:spacing w:val="0"/>
          <w:color w:val="000000"/>
          <w:position w:val="0"/>
        </w:rPr>
        <w:t xml:space="preserve"> на момент рассмотрения жалобы Контракт не заключен. '</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силу пункта 1 части 2 статьи 43 Закона о контрактной системе при формировании предложения участника закупки в отношении объекта закупки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Согласно подпунктов «а» и «б» пункта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pPr>
        <w:pStyle w:val="Style20"/>
        <w:widowControl w:val="0"/>
        <w:keepNext w:val="0"/>
        <w:keepLines w:val="0"/>
        <w:shd w:val="clear" w:color="auto" w:fill="auto"/>
        <w:bidi w:val="0"/>
        <w:spacing w:before="0" w:after="300" w:line="370" w:lineRule="exact"/>
        <w:ind w:left="80" w:right="20" w:firstLine="580"/>
      </w:pPr>
      <w:r>
        <w:rPr>
          <w:lang w:val="ru-RU" w:eastAsia="ru-RU" w:bidi="ru-RU"/>
          <w:w w:val="100"/>
          <w:spacing w:val="0"/>
          <w:color w:val="000000"/>
          <w:position w:val="0"/>
        </w:rPr>
        <w:t>Частью 2 статьи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0"/>
        <w:widowControl w:val="0"/>
        <w:keepNext w:val="0"/>
        <w:keepLines w:val="0"/>
        <w:shd w:val="clear" w:color="auto" w:fill="auto"/>
        <w:bidi w:val="0"/>
        <w:spacing w:before="0" w:after="0" w:line="370" w:lineRule="exact"/>
        <w:ind w:left="80" w:right="20" w:firstLine="580"/>
      </w:pPr>
      <w:r>
        <w:rPr>
          <w:lang w:val="ru-RU" w:eastAsia="ru-RU" w:bidi="ru-RU"/>
          <w:w w:val="100"/>
          <w:spacing w:val="0"/>
          <w:color w:val="000000"/>
          <w:position w:val="0"/>
        </w:rPr>
        <w:t>В описание объекта закупки на приобретение трактора Беларус МТЗ- 82.1 или эквивалент указано, в том числе следующее:</w:t>
      </w:r>
    </w:p>
    <w:tbl>
      <w:tblPr>
        <w:tblOverlap w:val="never"/>
        <w:tblLayout w:type="fixed"/>
        <w:jc w:val="center"/>
      </w:tblPr>
      <w:tblGrid>
        <w:gridCol w:w="3014"/>
        <w:gridCol w:w="6144"/>
      </w:tblGrid>
      <w:tr>
        <w:trPr>
          <w:trHeight w:val="456" w:hRule="exact"/>
        </w:trPr>
        <w:tc>
          <w:tcPr>
            <w:shd w:val="clear" w:color="auto" w:fill="FFFFFF"/>
            <w:gridSpan w:val="2"/>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4220" w:right="0" w:firstLine="0"/>
            </w:pPr>
            <w:r>
              <w:rPr>
                <w:rStyle w:val="CharStyle32"/>
              </w:rPr>
              <w:t>Техническое задание</w:t>
            </w:r>
          </w:p>
        </w:tc>
      </w:tr>
      <w:tr>
        <w:trPr>
          <w:trHeight w:val="432"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Тип</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Трактор промышленный «Беларус МТЗ-82.1» (или эквивалент)</w:t>
            </w:r>
          </w:p>
        </w:tc>
      </w:tr>
      <w:tr>
        <w:trPr>
          <w:trHeight w:val="278"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Тяговый класс</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1,4</w:t>
            </w:r>
          </w:p>
        </w:tc>
      </w:tr>
      <w:tr>
        <w:trPr>
          <w:trHeight w:val="288" w:hRule="exact"/>
        </w:trPr>
        <w:tc>
          <w:tcPr>
            <w:shd w:val="clear" w:color="auto" w:fill="FFFFFF"/>
            <w:tcBorders>
              <w:left w:val="single" w:sz="4"/>
              <w:top w:val="single" w:sz="4"/>
            </w:tcBorders>
            <w:vAlign w:val="bottom"/>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Колесная формула</w:t>
            </w:r>
          </w:p>
        </w:tc>
        <w:tc>
          <w:tcPr>
            <w:shd w:val="clear" w:color="auto" w:fill="FFFFFF"/>
            <w:tcBorders>
              <w:left w:val="single" w:sz="4"/>
              <w:right w:val="single" w:sz="4"/>
              <w:top w:val="single" w:sz="4"/>
            </w:tcBorders>
            <w:vAlign w:val="bottom"/>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lang w:val="en-US" w:eastAsia="en-US" w:bidi="en-US"/>
              </w:rPr>
              <w:t xml:space="preserve">4x4 </w:t>
            </w:r>
            <w:r>
              <w:rPr>
                <w:rStyle w:val="CharStyle32"/>
              </w:rPr>
              <w:t>/ передние и задние ведущие колеса</w:t>
            </w:r>
          </w:p>
        </w:tc>
      </w:tr>
      <w:tr>
        <w:trPr>
          <w:trHeight w:val="706"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Вал отбора мощности</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230" w:lineRule="exact"/>
              <w:ind w:left="0" w:right="0" w:firstLine="0"/>
            </w:pPr>
            <w:r>
              <w:rPr>
                <w:rStyle w:val="CharStyle32"/>
              </w:rPr>
              <w:t>Задний, независимый, двухскоростной, с гидромеханической системой управления, 540/1000 об/мин</w:t>
            </w:r>
          </w:p>
        </w:tc>
      </w:tr>
      <w:tr>
        <w:trPr>
          <w:trHeight w:val="278"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Максимальная эксплуатационная</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6500 (+/-100)</w:t>
            </w:r>
          </w:p>
        </w:tc>
      </w:tr>
      <w:tr>
        <w:trPr>
          <w:trHeight w:val="288"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Общая длина, мм</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4000 (+/-100)</w:t>
            </w:r>
          </w:p>
        </w:tc>
      </w:tr>
      <w:tr>
        <w:trPr>
          <w:trHeight w:val="278" w:hRule="exact"/>
        </w:trPr>
        <w:tc>
          <w:tcPr>
            <w:shd w:val="clear" w:color="auto" w:fill="FFFFFF"/>
            <w:tcBorders>
              <w:left w:val="single" w:sz="4"/>
              <w:top w:val="single" w:sz="4"/>
            </w:tcBorders>
            <w:vAlign w:val="bottom"/>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Ширина, мм</w:t>
            </w:r>
          </w:p>
        </w:tc>
        <w:tc>
          <w:tcPr>
            <w:shd w:val="clear" w:color="auto" w:fill="FFFFFF"/>
            <w:tcBorders>
              <w:left w:val="single" w:sz="4"/>
              <w:right w:val="single" w:sz="4"/>
              <w:top w:val="single" w:sz="4"/>
            </w:tcBorders>
            <w:vAlign w:val="bottom"/>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2000 (+/-100)</w:t>
            </w:r>
          </w:p>
        </w:tc>
      </w:tr>
      <w:tr>
        <w:trPr>
          <w:trHeight w:val="307" w:hRule="exact"/>
        </w:trPr>
        <w:tc>
          <w:tcPr>
            <w:shd w:val="clear" w:color="auto" w:fill="FFFFFF"/>
            <w:tcBorders>
              <w:left w:val="single" w:sz="4"/>
              <w:top w:val="single" w:sz="4"/>
            </w:tcBorders>
            <w:vAlign w:val="center"/>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Высота по кабине, мм</w:t>
            </w:r>
          </w:p>
        </w:tc>
        <w:tc>
          <w:tcPr>
            <w:shd w:val="clear" w:color="auto" w:fill="FFFFFF"/>
            <w:tcBorders>
              <w:left w:val="single" w:sz="4"/>
              <w:right w:val="single" w:sz="4"/>
              <w:top w:val="single" w:sz="4"/>
            </w:tcBorders>
            <w:vAlign w:val="center"/>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2800 (+/-100)</w:t>
            </w:r>
          </w:p>
        </w:tc>
      </w:tr>
      <w:tr>
        <w:trPr>
          <w:trHeight w:val="302"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Размеры шин:</w:t>
            </w:r>
          </w:p>
        </w:tc>
        <w:tc>
          <w:tcPr>
            <w:shd w:val="clear" w:color="auto" w:fill="FFFFFF"/>
            <w:tcBorders>
              <w:left w:val="single" w:sz="4"/>
              <w:right w:val="single" w:sz="4"/>
              <w:top w:val="single" w:sz="4"/>
            </w:tcBorders>
            <w:vAlign w:val="top"/>
          </w:tcPr>
          <w:p>
            <w:pPr>
              <w:framePr w:w="9158" w:wrap="notBeside" w:vAnchor="text" w:hAnchor="text" w:xAlign="center" w:y="1"/>
              <w:widowControl w:val="0"/>
              <w:rPr>
                <w:sz w:val="10"/>
                <w:szCs w:val="10"/>
              </w:rPr>
            </w:pPr>
          </w:p>
        </w:tc>
      </w:tr>
      <w:tr>
        <w:trPr>
          <w:trHeight w:val="264" w:hRule="exact"/>
        </w:trPr>
        <w:tc>
          <w:tcPr>
            <w:shd w:val="clear" w:color="auto" w:fill="FFFFFF"/>
            <w:tcBorders>
              <w:left w:val="single" w:sz="4"/>
              <w:top w:val="single" w:sz="4"/>
            </w:tcBorders>
            <w:vAlign w:val="bottom"/>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передних колес</w:t>
            </w:r>
          </w:p>
        </w:tc>
        <w:tc>
          <w:tcPr>
            <w:shd w:val="clear" w:color="auto" w:fill="FFFFFF"/>
            <w:tcBorders>
              <w:left w:val="single" w:sz="4"/>
              <w:right w:val="single" w:sz="4"/>
              <w:top w:val="single" w:sz="4"/>
            </w:tcBorders>
            <w:vAlign w:val="bottom"/>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11,2-20</w:t>
            </w:r>
          </w:p>
        </w:tc>
      </w:tr>
      <w:tr>
        <w:trPr>
          <w:trHeight w:val="293"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задних колес</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 xml:space="preserve">не менее </w:t>
            </w:r>
            <w:r>
              <w:rPr>
                <w:rStyle w:val="CharStyle32"/>
                <w:lang w:val="en-US" w:eastAsia="en-US" w:bidi="en-US"/>
              </w:rPr>
              <w:t>15,5R38</w:t>
            </w:r>
          </w:p>
        </w:tc>
      </w:tr>
      <w:tr>
        <w:trPr>
          <w:trHeight w:val="989"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Кабина</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226" w:lineRule="exact"/>
              <w:ind w:left="0" w:right="0" w:firstLine="0"/>
            </w:pPr>
            <w:r>
              <w:rPr>
                <w:rStyle w:val="CharStyle32"/>
              </w:rPr>
              <w:t>С фильтрацией и подогревом подаваемого в кабину воздуха, с открывающимися боковыми и задним окнами, с электрическими стеклоочистителями лобового и заднего стекол и омывателем лобового стекла</w:t>
            </w:r>
          </w:p>
        </w:tc>
      </w:tr>
      <w:tr>
        <w:trPr>
          <w:trHeight w:val="288"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Проблесковый маячок</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Желтого цвета</w:t>
            </w:r>
          </w:p>
        </w:tc>
      </w:tr>
      <w:tr>
        <w:trPr>
          <w:trHeight w:val="576"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Двигатель</w:t>
            </w:r>
          </w:p>
        </w:tc>
        <w:tc>
          <w:tcPr>
            <w:shd w:val="clear" w:color="auto" w:fill="FFFFFF"/>
            <w:tcBorders>
              <w:left w:val="single" w:sz="4"/>
              <w:right w:val="single" w:sz="4"/>
              <w:top w:val="single" w:sz="4"/>
            </w:tcBorders>
            <w:vAlign w:val="bottom"/>
          </w:tcPr>
          <w:p>
            <w:pPr>
              <w:pStyle w:val="Style20"/>
              <w:framePr w:w="9158" w:wrap="notBeside" w:vAnchor="text" w:hAnchor="text" w:xAlign="center" w:y="1"/>
              <w:widowControl w:val="0"/>
              <w:keepNext w:val="0"/>
              <w:keepLines w:val="0"/>
              <w:shd w:val="clear" w:color="auto" w:fill="auto"/>
              <w:bidi w:val="0"/>
              <w:spacing w:before="0" w:after="0" w:line="226" w:lineRule="exact"/>
              <w:ind w:left="0" w:right="0" w:firstLine="0"/>
            </w:pPr>
            <w:r>
              <w:rPr>
                <w:rStyle w:val="CharStyle32"/>
              </w:rPr>
              <w:t xml:space="preserve">Д-243 или Д-243С или Д-243 </w:t>
            </w:r>
            <w:r>
              <w:rPr>
                <w:rStyle w:val="CharStyle32"/>
                <w:lang w:val="en-US" w:eastAsia="en-US" w:bidi="en-US"/>
              </w:rPr>
              <w:t xml:space="preserve">S2, </w:t>
            </w:r>
            <w:r>
              <w:rPr>
                <w:rStyle w:val="CharStyle32"/>
              </w:rPr>
              <w:t>четырехтактный с непосредственным впрыском топлива, с водяным охлаждением</w:t>
            </w:r>
          </w:p>
        </w:tc>
      </w:tr>
      <w:tr>
        <w:trPr>
          <w:trHeight w:val="398"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-по виду топлива</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Дизельный</w:t>
            </w:r>
          </w:p>
        </w:tc>
      </w:tr>
      <w:tr>
        <w:trPr>
          <w:trHeight w:val="394"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 рабочий объем, л</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4,75</w:t>
            </w:r>
          </w:p>
        </w:tc>
      </w:tr>
      <w:tr>
        <w:trPr>
          <w:trHeight w:val="394"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 количество цилиндров</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4</w:t>
            </w:r>
          </w:p>
        </w:tc>
      </w:tr>
      <w:tr>
        <w:trPr>
          <w:trHeight w:val="542"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226" w:lineRule="exact"/>
              <w:ind w:left="80" w:right="0" w:firstLine="0"/>
            </w:pPr>
            <w:r>
              <w:rPr>
                <w:rStyle w:val="CharStyle32"/>
              </w:rPr>
              <w:t>- диаметр цилиндра/ход поршня, мм</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110 (+/-10)/125 (+/-10)</w:t>
            </w:r>
          </w:p>
        </w:tc>
      </w:tr>
      <w:tr>
        <w:trPr>
          <w:trHeight w:val="398"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 мощность, кВт (л.с.)</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59,6 (81,00)</w:t>
            </w:r>
          </w:p>
        </w:tc>
      </w:tr>
      <w:tr>
        <w:trPr>
          <w:trHeight w:val="581"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32"/>
              </w:rPr>
              <w:t>Номинальная частота вращения, об/мин</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2200</w:t>
            </w:r>
          </w:p>
        </w:tc>
      </w:tr>
      <w:tr>
        <w:trPr>
          <w:trHeight w:val="514"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32"/>
              </w:rPr>
              <w:t>Удельный расход топлива при номинальной мощности, г/кВт.ч.</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более 250</w:t>
            </w:r>
          </w:p>
        </w:tc>
      </w:tr>
      <w:tr>
        <w:trPr>
          <w:trHeight w:val="274"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Коэффициент запаса крутящего</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15</w:t>
            </w:r>
          </w:p>
        </w:tc>
      </w:tr>
      <w:tr>
        <w:trPr>
          <w:trHeight w:val="288"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Емкость топливного бака, л</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130 (+/-10)</w:t>
            </w:r>
          </w:p>
        </w:tc>
      </w:tr>
      <w:tr>
        <w:trPr>
          <w:trHeight w:val="274" w:hRule="exact"/>
        </w:trPr>
        <w:tc>
          <w:tcPr>
            <w:shd w:val="clear" w:color="auto" w:fill="FFFFFF"/>
            <w:tcBorders>
              <w:left w:val="single" w:sz="4"/>
              <w:top w:val="single" w:sz="4"/>
            </w:tcBorders>
            <w:vAlign w:val="bottom"/>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Коробка передач</w:t>
            </w:r>
          </w:p>
        </w:tc>
        <w:tc>
          <w:tcPr>
            <w:shd w:val="clear" w:color="auto" w:fill="FFFFFF"/>
            <w:tcBorders>
              <w:left w:val="single" w:sz="4"/>
              <w:right w:val="single" w:sz="4"/>
              <w:top w:val="single" w:sz="4"/>
            </w:tcBorders>
            <w:vAlign w:val="bottom"/>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механическая с редуктором, удваивающим число передач</w:t>
            </w:r>
          </w:p>
        </w:tc>
      </w:tr>
      <w:tr>
        <w:trPr>
          <w:trHeight w:val="278" w:hRule="exact"/>
        </w:trPr>
        <w:tc>
          <w:tcPr>
            <w:shd w:val="clear" w:color="auto" w:fill="FFFFFF"/>
            <w:tcBorders>
              <w:left w:val="single" w:sz="4"/>
              <w:top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Число передач</w:t>
            </w:r>
          </w:p>
        </w:tc>
        <w:tc>
          <w:tcPr>
            <w:shd w:val="clear" w:color="auto" w:fill="FFFFFF"/>
            <w:tcBorders>
              <w:left w:val="single" w:sz="4"/>
              <w:right w:val="single" w:sz="4"/>
              <w:top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18 вперед, 4 назад</w:t>
            </w:r>
          </w:p>
        </w:tc>
      </w:tr>
      <w:tr>
        <w:trPr>
          <w:trHeight w:val="288" w:hRule="exact"/>
        </w:trPr>
        <w:tc>
          <w:tcPr>
            <w:shd w:val="clear" w:color="auto" w:fill="FFFFFF"/>
            <w:tcBorders>
              <w:left w:val="single" w:sz="4"/>
              <w:top w:val="single" w:sz="4"/>
              <w:bottom w:val="single" w:sz="4"/>
            </w:tcBorders>
            <w:vAlign w:val="top"/>
          </w:tcPr>
          <w:p>
            <w:pPr>
              <w:pStyle w:val="Style20"/>
              <w:framePr w:w="9158"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2"/>
              </w:rPr>
              <w:t>Скорость движения, км/ч,</w:t>
            </w:r>
          </w:p>
        </w:tc>
        <w:tc>
          <w:tcPr>
            <w:shd w:val="clear" w:color="auto" w:fill="FFFFFF"/>
            <w:tcBorders>
              <w:left w:val="single" w:sz="4"/>
              <w:right w:val="single" w:sz="4"/>
              <w:top w:val="single" w:sz="4"/>
              <w:bottom w:val="single" w:sz="4"/>
            </w:tcBorders>
            <w:vAlign w:val="top"/>
          </w:tcPr>
          <w:p>
            <w:pPr>
              <w:pStyle w:val="Style20"/>
              <w:framePr w:w="9158"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1,94-34,3/4,09-9,22</w:t>
            </w:r>
          </w:p>
        </w:tc>
      </w:tr>
    </w:tbl>
    <w:p>
      <w:pPr>
        <w:widowControl w:val="0"/>
        <w:rPr>
          <w:sz w:val="2"/>
          <w:szCs w:val="2"/>
        </w:rPr>
      </w:pPr>
    </w:p>
    <w:tbl>
      <w:tblPr>
        <w:tblOverlap w:val="never"/>
        <w:tblLayout w:type="fixed"/>
        <w:jc w:val="center"/>
      </w:tblPr>
      <w:tblGrid>
        <w:gridCol w:w="2990"/>
        <w:gridCol w:w="6125"/>
      </w:tblGrid>
      <w:tr>
        <w:trPr>
          <w:trHeight w:val="307" w:hRule="exact"/>
        </w:trPr>
        <w:tc>
          <w:tcPr>
            <w:shd w:val="clear" w:color="auto" w:fill="FFFFFF"/>
            <w:tcBorders>
              <w:left w:val="single" w:sz="4"/>
              <w:top w:val="single" w:sz="4"/>
            </w:tcBorders>
            <w:vAlign w:val="bottom"/>
          </w:tcPr>
          <w:p>
            <w:pPr>
              <w:pStyle w:val="Style20"/>
              <w:framePr w:w="9115" w:wrap="notBeside" w:vAnchor="text" w:hAnchor="text" w:xAlign="center" w:y="1"/>
              <w:widowControl w:val="0"/>
              <w:keepNext w:val="0"/>
              <w:keepLines w:val="0"/>
              <w:shd w:val="clear" w:color="auto" w:fill="auto"/>
              <w:bidi w:val="0"/>
              <w:jc w:val="left"/>
              <w:spacing w:before="0" w:after="0" w:line="190" w:lineRule="exact"/>
              <w:ind w:left="60" w:right="0" w:firstLine="0"/>
            </w:pPr>
            <w:r>
              <w:rPr>
                <w:rStyle w:val="CharStyle32"/>
              </w:rPr>
              <w:t>Г од выпуска</w:t>
            </w:r>
          </w:p>
        </w:tc>
        <w:tc>
          <w:tcPr>
            <w:shd w:val="clear" w:color="auto" w:fill="FFFFFF"/>
            <w:tcBorders>
              <w:left w:val="single" w:sz="4"/>
              <w:right w:val="single" w:sz="4"/>
              <w:top w:val="single" w:sz="4"/>
            </w:tcBorders>
            <w:vAlign w:val="bottom"/>
          </w:tcPr>
          <w:p>
            <w:pPr>
              <w:pStyle w:val="Style20"/>
              <w:framePr w:w="9115"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ранее 2021</w:t>
            </w:r>
          </w:p>
        </w:tc>
      </w:tr>
      <w:tr>
        <w:trPr>
          <w:trHeight w:val="523" w:hRule="exact"/>
        </w:trPr>
        <w:tc>
          <w:tcPr>
            <w:shd w:val="clear" w:color="auto" w:fill="FFFFFF"/>
            <w:tcBorders>
              <w:left w:val="single" w:sz="4"/>
              <w:top w:val="single" w:sz="4"/>
            </w:tcBorders>
            <w:vAlign w:val="top"/>
          </w:tcPr>
          <w:p>
            <w:pPr>
              <w:pStyle w:val="Style20"/>
              <w:framePr w:w="9115" w:wrap="notBeside" w:vAnchor="text" w:hAnchor="text" w:xAlign="center" w:y="1"/>
              <w:widowControl w:val="0"/>
              <w:keepNext w:val="0"/>
              <w:keepLines w:val="0"/>
              <w:shd w:val="clear" w:color="auto" w:fill="auto"/>
              <w:bidi w:val="0"/>
              <w:jc w:val="left"/>
              <w:spacing w:before="0" w:after="0" w:line="190" w:lineRule="exact"/>
              <w:ind w:left="60" w:right="0" w:firstLine="0"/>
            </w:pPr>
            <w:r>
              <w:rPr>
                <w:rStyle w:val="CharStyle32"/>
              </w:rPr>
              <w:t>Г арантия производителя</w:t>
            </w:r>
          </w:p>
        </w:tc>
        <w:tc>
          <w:tcPr>
            <w:shd w:val="clear" w:color="auto" w:fill="FFFFFF"/>
            <w:tcBorders>
              <w:left w:val="single" w:sz="4"/>
              <w:right w:val="single" w:sz="4"/>
              <w:top w:val="single" w:sz="4"/>
            </w:tcBorders>
            <w:vAlign w:val="top"/>
          </w:tcPr>
          <w:p>
            <w:pPr>
              <w:pStyle w:val="Style20"/>
              <w:framePr w:w="9115" w:wrap="notBeside" w:vAnchor="text" w:hAnchor="text" w:xAlign="center" w:y="1"/>
              <w:widowControl w:val="0"/>
              <w:keepNext w:val="0"/>
              <w:keepLines w:val="0"/>
              <w:shd w:val="clear" w:color="auto" w:fill="auto"/>
              <w:bidi w:val="0"/>
              <w:spacing w:before="0" w:after="0" w:line="230" w:lineRule="exact"/>
              <w:ind w:left="0" w:right="0" w:firstLine="0"/>
            </w:pPr>
            <w:r>
              <w:rPr>
                <w:rStyle w:val="CharStyle32"/>
              </w:rPr>
              <w:t>Не менее 12 месяцев с даты поставки или 1 ООО моточасов в зависимости от того, какое из указанных обстоятельств наступит ранее</w:t>
            </w:r>
          </w:p>
        </w:tc>
      </w:tr>
      <w:tr>
        <w:trPr>
          <w:trHeight w:val="739" w:hRule="exact"/>
        </w:trPr>
        <w:tc>
          <w:tcPr>
            <w:shd w:val="clear" w:color="auto" w:fill="FFFFFF"/>
            <w:tcBorders>
              <w:left w:val="single" w:sz="4"/>
              <w:top w:val="single" w:sz="4"/>
              <w:bottom w:val="single" w:sz="4"/>
            </w:tcBorders>
            <w:vAlign w:val="top"/>
          </w:tcPr>
          <w:p>
            <w:pPr>
              <w:pStyle w:val="Style20"/>
              <w:framePr w:w="9115" w:wrap="notBeside" w:vAnchor="text" w:hAnchor="text" w:xAlign="center" w:y="1"/>
              <w:widowControl w:val="0"/>
              <w:keepNext w:val="0"/>
              <w:keepLines w:val="0"/>
              <w:shd w:val="clear" w:color="auto" w:fill="auto"/>
              <w:bidi w:val="0"/>
              <w:jc w:val="left"/>
              <w:spacing w:before="0" w:after="0" w:line="190" w:lineRule="exact"/>
              <w:ind w:left="60" w:right="0" w:firstLine="0"/>
            </w:pPr>
            <w:r>
              <w:rPr>
                <w:rStyle w:val="CharStyle32"/>
              </w:rPr>
              <w:t>Г арантия поставщика</w:t>
            </w:r>
          </w:p>
        </w:tc>
        <w:tc>
          <w:tcPr>
            <w:shd w:val="clear" w:color="auto" w:fill="FFFFFF"/>
            <w:tcBorders>
              <w:left w:val="single" w:sz="4"/>
              <w:right w:val="single" w:sz="4"/>
              <w:top w:val="single" w:sz="4"/>
              <w:bottom w:val="single" w:sz="4"/>
            </w:tcBorders>
            <w:vAlign w:val="bottom"/>
          </w:tcPr>
          <w:p>
            <w:pPr>
              <w:pStyle w:val="Style20"/>
              <w:framePr w:w="9115" w:wrap="notBeside" w:vAnchor="text" w:hAnchor="text" w:xAlign="center" w:y="1"/>
              <w:widowControl w:val="0"/>
              <w:keepNext w:val="0"/>
              <w:keepLines w:val="0"/>
              <w:shd w:val="clear" w:color="auto" w:fill="auto"/>
              <w:bidi w:val="0"/>
              <w:spacing w:before="0" w:after="0" w:line="230" w:lineRule="exact"/>
              <w:ind w:left="0" w:right="0" w:firstLine="0"/>
            </w:pPr>
            <w:r>
              <w:rPr>
                <w:rStyle w:val="CharStyle32"/>
              </w:rPr>
              <w:t>Не менее 12 месяцев с даты поставки или 1 ООО моточасов в зависимости от того, какое из указанных обстоятельств наступит ранее, но не менее гарантии производителя производителя</w:t>
            </w:r>
          </w:p>
        </w:tc>
      </w:tr>
    </w:tbl>
    <w:p>
      <w:pPr>
        <w:widowControl w:val="0"/>
        <w:rPr>
          <w:sz w:val="2"/>
          <w:szCs w:val="2"/>
        </w:rPr>
      </w:pPr>
    </w:p>
    <w:p>
      <w:pPr>
        <w:pStyle w:val="Style20"/>
        <w:widowControl w:val="0"/>
        <w:keepNext w:val="0"/>
        <w:keepLines w:val="0"/>
        <w:shd w:val="clear" w:color="auto" w:fill="auto"/>
        <w:bidi w:val="0"/>
        <w:spacing w:before="256" w:after="0" w:line="370" w:lineRule="exact"/>
        <w:ind w:left="60" w:right="20" w:firstLine="600"/>
      </w:pPr>
      <w:r>
        <w:rPr>
          <w:lang w:val="ru-RU" w:eastAsia="ru-RU" w:bidi="ru-RU"/>
          <w:w w:val="100"/>
          <w:spacing w:val="0"/>
          <w:color w:val="000000"/>
          <w:position w:val="0"/>
        </w:rPr>
        <w:t>Согласно полученных от оператора электронной площадки заявок участников электронного аукциона, Комиссия установила, что в заявке ООО «ТехноСейл» (Заявитель), предлагает к поставке следующее:</w:t>
      </w:r>
    </w:p>
    <w:tbl>
      <w:tblPr>
        <w:tblOverlap w:val="never"/>
        <w:tblLayout w:type="fixed"/>
        <w:jc w:val="center"/>
      </w:tblPr>
      <w:tblGrid>
        <w:gridCol w:w="3494"/>
        <w:gridCol w:w="5611"/>
      </w:tblGrid>
      <w:tr>
        <w:trPr>
          <w:trHeight w:val="278" w:hRule="exact"/>
        </w:trPr>
        <w:tc>
          <w:tcPr>
            <w:shd w:val="clear" w:color="auto" w:fill="FFFFFF"/>
            <w:tcBorders>
              <w:lef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3"/>
              </w:rPr>
              <w:t>Наименование техники по ПТС</w:t>
            </w:r>
          </w:p>
        </w:tc>
        <w:tc>
          <w:tcPr>
            <w:shd w:val="clear" w:color="auto" w:fill="FFFFFF"/>
            <w:tcBorders>
              <w:left w:val="single" w:sz="4"/>
              <w:righ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3"/>
              </w:rPr>
              <w:t>Трактор Беларус 82.1</w:t>
            </w:r>
          </w:p>
        </w:tc>
      </w:tr>
      <w:tr>
        <w:trPr>
          <w:trHeight w:val="259" w:hRule="exact"/>
        </w:trPr>
        <w:tc>
          <w:tcPr>
            <w:shd w:val="clear" w:color="auto" w:fill="FFFFFF"/>
            <w:tcBorders>
              <w:lef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Год изготовления</w:t>
            </w:r>
          </w:p>
        </w:tc>
        <w:tc>
          <w:tcPr>
            <w:shd w:val="clear" w:color="auto" w:fill="FFFFFF"/>
            <w:tcBorders>
              <w:left w:val="single" w:sz="4"/>
              <w:righ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2022</w:t>
            </w:r>
          </w:p>
        </w:tc>
      </w:tr>
      <w:tr>
        <w:trPr>
          <w:trHeight w:val="264" w:hRule="exact"/>
        </w:trPr>
        <w:tc>
          <w:tcPr>
            <w:shd w:val="clear" w:color="auto" w:fill="FFFFFF"/>
            <w:tcBorders>
              <w:lef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Страна изготовления</w:t>
            </w:r>
          </w:p>
        </w:tc>
        <w:tc>
          <w:tcPr>
            <w:shd w:val="clear" w:color="auto" w:fill="FFFFFF"/>
            <w:tcBorders>
              <w:left w:val="single" w:sz="4"/>
              <w:righ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Республика Беларусь</w:t>
            </w:r>
          </w:p>
        </w:tc>
      </w:tr>
      <w:tr>
        <w:trPr>
          <w:trHeight w:val="264" w:hRule="exact"/>
        </w:trPr>
        <w:tc>
          <w:tcPr>
            <w:shd w:val="clear" w:color="auto" w:fill="FFFFFF"/>
            <w:tcBorders>
              <w:lef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Завод изготовитель</w:t>
            </w:r>
          </w:p>
        </w:tc>
        <w:tc>
          <w:tcPr>
            <w:shd w:val="clear" w:color="auto" w:fill="FFFFFF"/>
            <w:tcBorders>
              <w:left w:val="single" w:sz="4"/>
              <w:righ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ОАО "Минский тракторный завод"</w:t>
            </w:r>
          </w:p>
        </w:tc>
      </w:tr>
      <w:tr>
        <w:trPr>
          <w:trHeight w:val="523" w:hRule="exact"/>
        </w:trPr>
        <w:tc>
          <w:tcPr>
            <w:shd w:val="clear" w:color="auto" w:fill="FFFFFF"/>
            <w:tcBorders>
              <w:left w:val="single" w:sz="4"/>
              <w:top w:val="single" w:sz="4"/>
            </w:tcBorders>
            <w:vAlign w:val="center"/>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Место поставки</w:t>
            </w:r>
          </w:p>
        </w:tc>
        <w:tc>
          <w:tcPr>
            <w:shd w:val="clear" w:color="auto" w:fill="FFFFFF"/>
            <w:tcBorders>
              <w:left w:val="single" w:sz="4"/>
              <w:righ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59" w:lineRule="exact"/>
              <w:ind w:left="100" w:right="0" w:firstLine="0"/>
            </w:pPr>
            <w:r>
              <w:rPr>
                <w:rStyle w:val="CharStyle34"/>
              </w:rPr>
              <w:t>655674, Республика Хакасия, Алтайский район, село Очуры, улица Советская, 115 А.</w:t>
            </w:r>
          </w:p>
        </w:tc>
      </w:tr>
      <w:tr>
        <w:trPr>
          <w:trHeight w:val="264" w:hRule="exact"/>
        </w:trPr>
        <w:tc>
          <w:tcPr>
            <w:shd w:val="clear" w:color="auto" w:fill="FFFFFF"/>
            <w:tcBorders>
              <w:lef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Срок поставки</w:t>
            </w:r>
          </w:p>
        </w:tc>
        <w:tc>
          <w:tcPr>
            <w:shd w:val="clear" w:color="auto" w:fill="FFFFFF"/>
            <w:tcBorders>
              <w:left w:val="single" w:sz="4"/>
              <w:righ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В течении 20 дней с момента поставки</w:t>
            </w:r>
          </w:p>
        </w:tc>
      </w:tr>
      <w:tr>
        <w:trPr>
          <w:trHeight w:val="264" w:hRule="exact"/>
        </w:trPr>
        <w:tc>
          <w:tcPr>
            <w:shd w:val="clear" w:color="auto" w:fill="FFFFFF"/>
            <w:tcBorders>
              <w:lef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Условия гарантии</w:t>
            </w:r>
          </w:p>
        </w:tc>
        <w:tc>
          <w:tcPr>
            <w:shd w:val="clear" w:color="auto" w:fill="FFFFFF"/>
            <w:tcBorders>
              <w:left w:val="single" w:sz="4"/>
              <w:right w:val="single" w:sz="4"/>
              <w:top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12 месяцев или 1000 м/ч</w:t>
            </w:r>
          </w:p>
        </w:tc>
      </w:tr>
      <w:tr>
        <w:trPr>
          <w:trHeight w:val="278" w:hRule="exact"/>
        </w:trPr>
        <w:tc>
          <w:tcPr>
            <w:shd w:val="clear" w:color="auto" w:fill="FFFFFF"/>
            <w:tcBorders>
              <w:left w:val="single" w:sz="4"/>
              <w:top w:val="single" w:sz="4"/>
              <w:bottom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Порядок оплаты</w:t>
            </w:r>
          </w:p>
        </w:tc>
        <w:tc>
          <w:tcPr>
            <w:shd w:val="clear" w:color="auto" w:fill="FFFFFF"/>
            <w:tcBorders>
              <w:left w:val="single" w:sz="4"/>
              <w:right w:val="single" w:sz="4"/>
              <w:top w:val="single" w:sz="4"/>
              <w:bottom w:val="single" w:sz="4"/>
            </w:tcBorders>
            <w:vAlign w:val="bottom"/>
          </w:tcPr>
          <w:p>
            <w:pPr>
              <w:pStyle w:val="Style20"/>
              <w:framePr w:w="9106"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34"/>
              </w:rPr>
              <w:t>7 дней с момента приёмки</w:t>
            </w:r>
          </w:p>
        </w:tc>
      </w:tr>
    </w:tbl>
    <w:p>
      <w:pPr>
        <w:widowControl w:val="0"/>
        <w:spacing w:line="300" w:lineRule="exact"/>
        <w:rPr>
          <w:sz w:val="24"/>
          <w:szCs w:val="24"/>
        </w:rPr>
      </w:pPr>
    </w:p>
    <w:tbl>
      <w:tblPr>
        <w:tblOverlap w:val="never"/>
        <w:tblLayout w:type="fixed"/>
        <w:jc w:val="center"/>
      </w:tblPr>
      <w:tblGrid>
        <w:gridCol w:w="2856"/>
        <w:gridCol w:w="3019"/>
        <w:gridCol w:w="3278"/>
      </w:tblGrid>
      <w:tr>
        <w:trPr>
          <w:trHeight w:val="475" w:hRule="exact"/>
        </w:trPr>
        <w:tc>
          <w:tcPr>
            <w:shd w:val="clear" w:color="auto" w:fill="FFFFFF"/>
            <w:tcBorders>
              <w:left w:val="single" w:sz="4"/>
              <w:top w:val="single" w:sz="4"/>
            </w:tcBorders>
            <w:vAlign w:val="center"/>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Технический параметр</w:t>
            </w:r>
          </w:p>
        </w:tc>
        <w:tc>
          <w:tcPr>
            <w:shd w:val="clear" w:color="auto" w:fill="FFFFFF"/>
            <w:tcBorders>
              <w:left w:val="single" w:sz="4"/>
              <w:top w:val="single" w:sz="4"/>
            </w:tcBorders>
            <w:vAlign w:val="center"/>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Требование заказчика</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2"/>
              </w:rPr>
              <w:t>Характеристики автомобиля, предлагаемого к поставке</w:t>
            </w:r>
          </w:p>
        </w:tc>
      </w:tr>
      <w:tr>
        <w:trPr>
          <w:trHeight w:val="240"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Тяговый класс</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32"/>
              </w:rPr>
              <w:t>не менее 1,4</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1,4</w:t>
            </w:r>
          </w:p>
        </w:tc>
      </w:tr>
      <w:tr>
        <w:trPr>
          <w:trHeight w:val="475"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Колесная формула</w:t>
            </w:r>
          </w:p>
        </w:tc>
        <w:tc>
          <w:tcPr>
            <w:shd w:val="clear" w:color="auto" w:fill="FFFFFF"/>
            <w:tcBorders>
              <w:left w:val="single" w:sz="4"/>
              <w:top w:val="single" w:sz="4"/>
            </w:tcBorders>
            <w:vAlign w:val="top"/>
          </w:tcPr>
          <w:p>
            <w:pPr>
              <w:pStyle w:val="Style20"/>
              <w:framePr w:w="915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2"/>
                <w:lang w:val="en-US" w:eastAsia="en-US" w:bidi="en-US"/>
              </w:rPr>
              <w:t xml:space="preserve">4x4 </w:t>
            </w:r>
            <w:r>
              <w:rPr>
                <w:rStyle w:val="CharStyle32"/>
              </w:rPr>
              <w:t>/ передние и задние ведущие колеса</w:t>
            </w:r>
          </w:p>
        </w:tc>
        <w:tc>
          <w:tcPr>
            <w:shd w:val="clear" w:color="auto" w:fill="FFFFFF"/>
            <w:tcBorders>
              <w:left w:val="single" w:sz="4"/>
              <w:right w:val="single" w:sz="4"/>
              <w:top w:val="single" w:sz="4"/>
            </w:tcBorders>
            <w:vAlign w:val="top"/>
          </w:tcPr>
          <w:p>
            <w:pPr>
              <w:pStyle w:val="Style20"/>
              <w:framePr w:w="9154"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32"/>
                <w:lang w:val="en-US" w:eastAsia="en-US" w:bidi="en-US"/>
              </w:rPr>
              <w:t xml:space="preserve">4x4 </w:t>
            </w:r>
            <w:r>
              <w:rPr>
                <w:rStyle w:val="CharStyle32"/>
              </w:rPr>
              <w:t>/ передние и задние ведущие колеса</w:t>
            </w:r>
          </w:p>
        </w:tc>
      </w:tr>
      <w:tr>
        <w:trPr>
          <w:trHeight w:val="936" w:hRule="exact"/>
        </w:trPr>
        <w:tc>
          <w:tcPr>
            <w:shd w:val="clear" w:color="auto" w:fill="FFFFFF"/>
            <w:tcBorders>
              <w:left w:val="single" w:sz="4"/>
              <w:top w:val="single" w:sz="4"/>
            </w:tcBorders>
            <w:vAlign w:val="center"/>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Вал отбора мощности</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2"/>
              </w:rPr>
              <w:t>Задний, независимый, двухскоростной, с гидромеханической системой управления, 540/1000 об/мин</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2"/>
              </w:rPr>
              <w:t>Задний, независимый, двухскоростной, с гидромеханической системой управления, 540/1000 об/мин</w:t>
            </w:r>
          </w:p>
        </w:tc>
      </w:tr>
      <w:tr>
        <w:trPr>
          <w:trHeight w:val="466"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226" w:lineRule="exact"/>
              <w:ind w:left="140" w:right="0" w:firstLine="0"/>
            </w:pPr>
            <w:r>
              <w:rPr>
                <w:rStyle w:val="CharStyle32"/>
              </w:rPr>
              <w:t>Максимальная эксплуатационная масса, кг</w:t>
            </w:r>
          </w:p>
        </w:tc>
        <w:tc>
          <w:tcPr>
            <w:shd w:val="clear" w:color="auto" w:fill="FFFFFF"/>
            <w:tcBorders>
              <w:left w:val="single" w:sz="4"/>
              <w:top w:val="single" w:sz="4"/>
            </w:tcBorders>
            <w:vAlign w:val="center"/>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32"/>
              </w:rPr>
              <w:t>6500 (+/-100)</w:t>
            </w:r>
          </w:p>
        </w:tc>
        <w:tc>
          <w:tcPr>
            <w:shd w:val="clear" w:color="auto" w:fill="FFFFFF"/>
            <w:tcBorders>
              <w:left w:val="single" w:sz="4"/>
              <w:right w:val="single" w:sz="4"/>
              <w:top w:val="single" w:sz="4"/>
            </w:tcBorders>
            <w:vAlign w:val="center"/>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6500</w:t>
            </w:r>
          </w:p>
        </w:tc>
      </w:tr>
      <w:tr>
        <w:trPr>
          <w:trHeight w:val="240"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Общая длина, мм</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32"/>
              </w:rPr>
              <w:t>4000 (+/-100)</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3930</w:t>
            </w:r>
          </w:p>
        </w:tc>
      </w:tr>
      <w:tr>
        <w:trPr>
          <w:trHeight w:val="240"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Ширина, мм</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32"/>
              </w:rPr>
              <w:t>2000 (+/-100)</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1970</w:t>
            </w:r>
          </w:p>
        </w:tc>
      </w:tr>
      <w:tr>
        <w:trPr>
          <w:trHeight w:val="240"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Высота по кабине, мм</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32"/>
              </w:rPr>
              <w:t>2800 (+/-100)</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2800</w:t>
            </w:r>
          </w:p>
        </w:tc>
      </w:tr>
      <w:tr>
        <w:trPr>
          <w:trHeight w:val="245"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Размеры шин:</w:t>
            </w:r>
          </w:p>
        </w:tc>
        <w:tc>
          <w:tcPr>
            <w:shd w:val="clear" w:color="auto" w:fill="FFFFFF"/>
            <w:gridSpan w:val="2"/>
            <w:tcBorders>
              <w:left w:val="single" w:sz="4"/>
              <w:right w:val="single" w:sz="4"/>
              <w:top w:val="single" w:sz="4"/>
            </w:tcBorders>
            <w:vAlign w:val="top"/>
          </w:tcPr>
          <w:p>
            <w:pPr>
              <w:framePr w:w="9154" w:wrap="notBeside" w:vAnchor="text" w:hAnchor="text" w:xAlign="center" w:y="1"/>
              <w:widowControl w:val="0"/>
              <w:rPr>
                <w:sz w:val="10"/>
                <w:szCs w:val="10"/>
              </w:rPr>
            </w:pPr>
          </w:p>
        </w:tc>
      </w:tr>
      <w:tr>
        <w:trPr>
          <w:trHeight w:val="240"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передних колес</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11,2-20</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11,2-20</w:t>
            </w:r>
          </w:p>
        </w:tc>
      </w:tr>
      <w:tr>
        <w:trPr>
          <w:trHeight w:val="240"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задних колес</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 xml:space="preserve">не менее </w:t>
            </w:r>
            <w:r>
              <w:rPr>
                <w:rStyle w:val="CharStyle32"/>
                <w:lang w:val="en-US" w:eastAsia="en-US" w:bidi="en-US"/>
              </w:rPr>
              <w:t>15,5R38</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lang w:val="en-US" w:eastAsia="en-US" w:bidi="en-US"/>
              </w:rPr>
              <w:t>15,5R38</w:t>
            </w:r>
          </w:p>
        </w:tc>
      </w:tr>
      <w:tr>
        <w:trPr>
          <w:trHeight w:val="1848" w:hRule="exact"/>
        </w:trPr>
        <w:tc>
          <w:tcPr>
            <w:shd w:val="clear" w:color="auto" w:fill="FFFFFF"/>
            <w:tcBorders>
              <w:left w:val="single" w:sz="4"/>
              <w:top w:val="single" w:sz="4"/>
            </w:tcBorders>
            <w:vAlign w:val="center"/>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Кабина</w:t>
            </w:r>
          </w:p>
        </w:tc>
        <w:tc>
          <w:tcPr>
            <w:shd w:val="clear" w:color="auto" w:fill="FFFFFF"/>
            <w:tcBorders>
              <w:left w:val="single" w:sz="4"/>
              <w:top w:val="single" w:sz="4"/>
            </w:tcBorders>
            <w:vAlign w:val="top"/>
          </w:tcPr>
          <w:p>
            <w:pPr>
              <w:pStyle w:val="Style20"/>
              <w:framePr w:w="9154" w:wrap="notBeside" w:vAnchor="text" w:hAnchor="text" w:xAlign="center" w:y="1"/>
              <w:widowControl w:val="0"/>
              <w:keepNext w:val="0"/>
              <w:keepLines w:val="0"/>
              <w:shd w:val="clear" w:color="auto" w:fill="auto"/>
              <w:bidi w:val="0"/>
              <w:spacing w:before="0" w:after="0" w:line="226" w:lineRule="exact"/>
              <w:ind w:left="0" w:right="0" w:firstLine="0"/>
            </w:pPr>
            <w:r>
              <w:rPr>
                <w:rStyle w:val="CharStyle32"/>
              </w:rPr>
              <w:t>С фильтрацией и подогревом подаваемого в кабину воздуха, с открывающимися боковыми и задним окнами, с электрическими</w:t>
            </w:r>
          </w:p>
          <w:p>
            <w:pPr>
              <w:pStyle w:val="Style20"/>
              <w:framePr w:w="9154" w:wrap="notBeside" w:vAnchor="text" w:hAnchor="text" w:xAlign="center" w:y="1"/>
              <w:widowControl w:val="0"/>
              <w:keepNext w:val="0"/>
              <w:keepLines w:val="0"/>
              <w:shd w:val="clear" w:color="auto" w:fill="auto"/>
              <w:bidi w:val="0"/>
              <w:spacing w:before="0" w:after="0" w:line="226" w:lineRule="exact"/>
              <w:ind w:left="0" w:right="0" w:firstLine="0"/>
            </w:pPr>
            <w:r>
              <w:rPr>
                <w:rStyle w:val="CharStyle32"/>
              </w:rPr>
              <w:t>стеклоочистителями лобового и заднего стекол и омывателем лобового стекла</w:t>
            </w:r>
          </w:p>
        </w:tc>
        <w:tc>
          <w:tcPr>
            <w:shd w:val="clear" w:color="auto" w:fill="FFFFFF"/>
            <w:tcBorders>
              <w:left w:val="single" w:sz="4"/>
              <w:right w:val="single" w:sz="4"/>
              <w:top w:val="single" w:sz="4"/>
            </w:tcBorders>
            <w:vAlign w:val="top"/>
          </w:tcPr>
          <w:p>
            <w:pPr>
              <w:pStyle w:val="Style20"/>
              <w:framePr w:w="915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2"/>
              </w:rPr>
              <w:t>С фильтрацией и подогревом подаваемого в кабину воздуха; С открывающимися боковыми и задним окнами, с электрическими стеклоочистителями лобового и заднего стекол и омывателем лобового стекла</w:t>
            </w:r>
          </w:p>
        </w:tc>
      </w:tr>
      <w:tr>
        <w:trPr>
          <w:trHeight w:val="240"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Проблесковый маячок</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Желтого цвета</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Жёлтый</w:t>
            </w:r>
          </w:p>
        </w:tc>
      </w:tr>
      <w:tr>
        <w:trPr>
          <w:trHeight w:val="1162" w:hRule="exact"/>
        </w:trPr>
        <w:tc>
          <w:tcPr>
            <w:shd w:val="clear" w:color="auto" w:fill="FFFFFF"/>
            <w:tcBorders>
              <w:left w:val="single" w:sz="4"/>
              <w:top w:val="single" w:sz="4"/>
            </w:tcBorders>
            <w:vAlign w:val="center"/>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Двигатель</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32"/>
              </w:rPr>
              <w:t xml:space="preserve">Д-243 или Д-243С или Д-243 </w:t>
            </w:r>
            <w:r>
              <w:rPr>
                <w:rStyle w:val="CharStyle32"/>
                <w:lang w:val="en-US" w:eastAsia="en-US" w:bidi="en-US"/>
              </w:rPr>
              <w:t xml:space="preserve">S2, </w:t>
            </w:r>
            <w:r>
              <w:rPr>
                <w:rStyle w:val="CharStyle32"/>
              </w:rPr>
              <w:t>четырехтактный с непосредственным впрыском топлива, с водяным охлаждением</w:t>
            </w:r>
          </w:p>
        </w:tc>
        <w:tc>
          <w:tcPr>
            <w:shd w:val="clear" w:color="auto" w:fill="FFFFFF"/>
            <w:tcBorders>
              <w:left w:val="single" w:sz="4"/>
              <w:right w:val="single" w:sz="4"/>
              <w:top w:val="single" w:sz="4"/>
            </w:tcBorders>
            <w:vAlign w:val="center"/>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Д-243</w:t>
            </w:r>
          </w:p>
        </w:tc>
      </w:tr>
      <w:tr>
        <w:trPr>
          <w:trHeight w:val="235"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-по виду топлива</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Дизельный</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Дизельный</w:t>
            </w:r>
          </w:p>
        </w:tc>
      </w:tr>
      <w:tr>
        <w:trPr>
          <w:trHeight w:val="240"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 рабочий объем, л</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4,75</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4,75</w:t>
            </w:r>
          </w:p>
        </w:tc>
      </w:tr>
      <w:tr>
        <w:trPr>
          <w:trHeight w:val="240" w:hRule="exact"/>
        </w:trPr>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 количество цилиндров</w:t>
            </w:r>
          </w:p>
        </w:tc>
        <w:tc>
          <w:tcPr>
            <w:shd w:val="clear" w:color="auto" w:fill="FFFFFF"/>
            <w:tcBorders>
              <w:lef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4</w:t>
            </w:r>
          </w:p>
        </w:tc>
        <w:tc>
          <w:tcPr>
            <w:shd w:val="clear" w:color="auto" w:fill="FFFFFF"/>
            <w:tcBorders>
              <w:left w:val="single" w:sz="4"/>
              <w:right w:val="single" w:sz="4"/>
              <w:top w:val="single" w:sz="4"/>
            </w:tcBorders>
            <w:vAlign w:val="bottom"/>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4</w:t>
            </w:r>
          </w:p>
        </w:tc>
      </w:tr>
      <w:tr>
        <w:trPr>
          <w:trHeight w:val="480" w:hRule="exact"/>
        </w:trPr>
        <w:tc>
          <w:tcPr>
            <w:shd w:val="clear" w:color="auto" w:fill="FFFFFF"/>
            <w:tcBorders>
              <w:left w:val="single" w:sz="4"/>
              <w:top w:val="single" w:sz="4"/>
              <w:bottom w:val="single" w:sz="4"/>
            </w:tcBorders>
            <w:vAlign w:val="bottom"/>
          </w:tcPr>
          <w:p>
            <w:pPr>
              <w:pStyle w:val="Style20"/>
              <w:framePr w:w="9154" w:wrap="notBeside" w:vAnchor="text" w:hAnchor="text" w:xAlign="center" w:y="1"/>
              <w:widowControl w:val="0"/>
              <w:keepNext w:val="0"/>
              <w:keepLines w:val="0"/>
              <w:shd w:val="clear" w:color="auto" w:fill="auto"/>
              <w:bidi w:val="0"/>
              <w:jc w:val="left"/>
              <w:spacing w:before="0" w:after="0" w:line="221" w:lineRule="exact"/>
              <w:ind w:left="140" w:right="0" w:firstLine="0"/>
            </w:pPr>
            <w:r>
              <w:rPr>
                <w:rStyle w:val="CharStyle32"/>
              </w:rPr>
              <w:t>- диаметр цилиндра/ход поршня, мм</w:t>
            </w:r>
          </w:p>
        </w:tc>
        <w:tc>
          <w:tcPr>
            <w:shd w:val="clear" w:color="auto" w:fill="FFFFFF"/>
            <w:tcBorders>
              <w:left w:val="single" w:sz="4"/>
              <w:top w:val="single" w:sz="4"/>
              <w:bottom w:val="single" w:sz="4"/>
            </w:tcBorders>
            <w:vAlign w:val="center"/>
          </w:tcPr>
          <w:p>
            <w:pPr>
              <w:pStyle w:val="Style20"/>
              <w:framePr w:w="9154"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110 (+/-10)/125 (+/-10)</w:t>
            </w:r>
          </w:p>
        </w:tc>
        <w:tc>
          <w:tcPr>
            <w:shd w:val="clear" w:color="auto" w:fill="FFFFFF"/>
            <w:tcBorders>
              <w:left w:val="single" w:sz="4"/>
              <w:right w:val="single" w:sz="4"/>
              <w:top w:val="single" w:sz="4"/>
              <w:bottom w:val="single" w:sz="4"/>
            </w:tcBorders>
            <w:vAlign w:val="center"/>
          </w:tcPr>
          <w:p>
            <w:pPr>
              <w:pStyle w:val="Style20"/>
              <w:framePr w:w="915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110/125</w:t>
            </w:r>
          </w:p>
        </w:tc>
      </w:tr>
    </w:tbl>
    <w:p>
      <w:pPr>
        <w:widowControl w:val="0"/>
        <w:rPr>
          <w:sz w:val="2"/>
          <w:szCs w:val="2"/>
        </w:rPr>
      </w:pPr>
    </w:p>
    <w:tbl>
      <w:tblPr>
        <w:tblOverlap w:val="never"/>
        <w:tblLayout w:type="fixed"/>
        <w:jc w:val="center"/>
      </w:tblPr>
      <w:tblGrid>
        <w:gridCol w:w="2861"/>
        <w:gridCol w:w="3014"/>
        <w:gridCol w:w="3288"/>
      </w:tblGrid>
      <w:tr>
        <w:trPr>
          <w:trHeight w:val="274" w:hRule="exact"/>
        </w:trPr>
        <w:tc>
          <w:tcPr>
            <w:shd w:val="clear" w:color="auto" w:fill="FFFFFF"/>
            <w:tcBorders>
              <w:left w:val="single" w:sz="4"/>
            </w:tcBorders>
            <w:vAlign w:val="bottom"/>
          </w:tcPr>
          <w:p>
            <w:pPr>
              <w:pStyle w:val="Style20"/>
              <w:framePr w:w="9163"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 мощность, кВт (л.с.)</w:t>
            </w:r>
          </w:p>
        </w:tc>
        <w:tc>
          <w:tcPr>
            <w:shd w:val="clear" w:color="auto" w:fill="FFFFFF"/>
            <w:tcBorders>
              <w:left w:val="single" w:sz="4"/>
            </w:tcBorders>
            <w:vAlign w:val="bottom"/>
          </w:tcPr>
          <w:p>
            <w:pPr>
              <w:pStyle w:val="Style20"/>
              <w:framePr w:w="9163"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59,6 (81,00)</w:t>
            </w:r>
          </w:p>
        </w:tc>
        <w:tc>
          <w:tcPr>
            <w:shd w:val="clear" w:color="auto" w:fill="FFFFFF"/>
            <w:tcBorders>
              <w:left w:val="single" w:sz="4"/>
              <w:right w:val="single" w:sz="4"/>
            </w:tcBorders>
            <w:vAlign w:val="bottom"/>
          </w:tcPr>
          <w:p>
            <w:pPr>
              <w:pStyle w:val="Style20"/>
              <w:framePr w:w="916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81,6</w:t>
            </w:r>
          </w:p>
        </w:tc>
      </w:tr>
      <w:tr>
        <w:trPr>
          <w:trHeight w:val="466" w:hRule="exact"/>
        </w:trPr>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32"/>
              </w:rPr>
              <w:t>Номинальная частота вращения, об/мин</w:t>
            </w:r>
          </w:p>
        </w:tc>
        <w:tc>
          <w:tcPr>
            <w:shd w:val="clear" w:color="auto" w:fill="FFFFFF"/>
            <w:tcBorders>
              <w:left w:val="single" w:sz="4"/>
              <w:top w:val="single" w:sz="4"/>
            </w:tcBorders>
            <w:vAlign w:val="center"/>
          </w:tcPr>
          <w:p>
            <w:pPr>
              <w:pStyle w:val="Style20"/>
              <w:framePr w:w="9163"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2200</w:t>
            </w:r>
          </w:p>
        </w:tc>
        <w:tc>
          <w:tcPr>
            <w:shd w:val="clear" w:color="auto" w:fill="FFFFFF"/>
            <w:tcBorders>
              <w:left w:val="single" w:sz="4"/>
              <w:right w:val="single" w:sz="4"/>
              <w:top w:val="single" w:sz="4"/>
            </w:tcBorders>
            <w:vAlign w:val="center"/>
          </w:tcPr>
          <w:p>
            <w:pPr>
              <w:pStyle w:val="Style20"/>
              <w:framePr w:w="916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2200</w:t>
            </w:r>
          </w:p>
        </w:tc>
      </w:tr>
      <w:tr>
        <w:trPr>
          <w:trHeight w:val="706" w:hRule="exact"/>
        </w:trPr>
        <w:tc>
          <w:tcPr>
            <w:shd w:val="clear" w:color="auto" w:fill="FFFFFF"/>
            <w:tcBorders>
              <w:left w:val="single" w:sz="4"/>
              <w:top w:val="single" w:sz="4"/>
            </w:tcBorders>
            <w:vAlign w:val="top"/>
          </w:tcPr>
          <w:p>
            <w:pPr>
              <w:pStyle w:val="Style20"/>
              <w:framePr w:w="9163"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32"/>
              </w:rPr>
              <w:t>Удельный расход топлива при номинальной мощности, г/кВт.ч.</w:t>
            </w:r>
          </w:p>
        </w:tc>
        <w:tc>
          <w:tcPr>
            <w:shd w:val="clear" w:color="auto" w:fill="FFFFFF"/>
            <w:tcBorders>
              <w:left w:val="single" w:sz="4"/>
              <w:top w:val="single" w:sz="4"/>
            </w:tcBorders>
            <w:vAlign w:val="center"/>
          </w:tcPr>
          <w:p>
            <w:pPr>
              <w:pStyle w:val="Style20"/>
              <w:framePr w:w="9163"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более 250</w:t>
            </w:r>
          </w:p>
        </w:tc>
        <w:tc>
          <w:tcPr>
            <w:shd w:val="clear" w:color="auto" w:fill="FFFFFF"/>
            <w:tcBorders>
              <w:left w:val="single" w:sz="4"/>
              <w:right w:val="single" w:sz="4"/>
              <w:top w:val="single" w:sz="4"/>
            </w:tcBorders>
            <w:vAlign w:val="center"/>
          </w:tcPr>
          <w:p>
            <w:pPr>
              <w:pStyle w:val="Style20"/>
              <w:framePr w:w="916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226</w:t>
            </w:r>
          </w:p>
        </w:tc>
      </w:tr>
      <w:tr>
        <w:trPr>
          <w:trHeight w:val="466" w:hRule="exact"/>
        </w:trPr>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32"/>
              </w:rPr>
              <w:t>Коэффициент запаса крутящего момента, %</w:t>
            </w:r>
          </w:p>
        </w:tc>
        <w:tc>
          <w:tcPr>
            <w:shd w:val="clear" w:color="auto" w:fill="FFFFFF"/>
            <w:tcBorders>
              <w:left w:val="single" w:sz="4"/>
              <w:top w:val="single" w:sz="4"/>
            </w:tcBorders>
            <w:vAlign w:val="center"/>
          </w:tcPr>
          <w:p>
            <w:pPr>
              <w:pStyle w:val="Style20"/>
              <w:framePr w:w="9163"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менее 15</w:t>
            </w:r>
          </w:p>
        </w:tc>
        <w:tc>
          <w:tcPr>
            <w:shd w:val="clear" w:color="auto" w:fill="FFFFFF"/>
            <w:tcBorders>
              <w:left w:val="single" w:sz="4"/>
              <w:right w:val="single" w:sz="4"/>
              <w:top w:val="single" w:sz="4"/>
            </w:tcBorders>
            <w:vAlign w:val="center"/>
          </w:tcPr>
          <w:p>
            <w:pPr>
              <w:pStyle w:val="Style20"/>
              <w:framePr w:w="916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26,3 ,</w:t>
            </w:r>
          </w:p>
        </w:tc>
      </w:tr>
      <w:tr>
        <w:trPr>
          <w:trHeight w:val="245" w:hRule="exact"/>
        </w:trPr>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Емкость топливного бака, л</w:t>
            </w:r>
          </w:p>
        </w:tc>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130 (+/-10)</w:t>
            </w:r>
          </w:p>
        </w:tc>
        <w:tc>
          <w:tcPr>
            <w:shd w:val="clear" w:color="auto" w:fill="FFFFFF"/>
            <w:tcBorders>
              <w:left w:val="single" w:sz="4"/>
              <w:righ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130</w:t>
            </w:r>
          </w:p>
        </w:tc>
      </w:tr>
      <w:tr>
        <w:trPr>
          <w:trHeight w:val="475" w:hRule="exact"/>
        </w:trPr>
        <w:tc>
          <w:tcPr>
            <w:shd w:val="clear" w:color="auto" w:fill="FFFFFF"/>
            <w:tcBorders>
              <w:left w:val="single" w:sz="4"/>
              <w:top w:val="single" w:sz="4"/>
            </w:tcBorders>
            <w:vAlign w:val="center"/>
          </w:tcPr>
          <w:p>
            <w:pPr>
              <w:pStyle w:val="Style20"/>
              <w:framePr w:w="9163"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Коробка передач</w:t>
            </w:r>
          </w:p>
        </w:tc>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2"/>
              </w:rPr>
              <w:t>механическая с редуктором, удваивающим число передач</w:t>
            </w:r>
          </w:p>
        </w:tc>
        <w:tc>
          <w:tcPr>
            <w:shd w:val="clear" w:color="auto" w:fill="FFFFFF"/>
            <w:tcBorders>
              <w:left w:val="single" w:sz="4"/>
              <w:righ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left"/>
              <w:spacing w:before="0" w:after="0" w:line="230" w:lineRule="exact"/>
              <w:ind w:left="460" w:right="0" w:firstLine="0"/>
            </w:pPr>
            <w:r>
              <w:rPr>
                <w:rStyle w:val="CharStyle32"/>
              </w:rPr>
              <w:t>механическая с редуктором, удваивающим число передач</w:t>
            </w:r>
          </w:p>
        </w:tc>
      </w:tr>
      <w:tr>
        <w:trPr>
          <w:trHeight w:val="240" w:hRule="exact"/>
        </w:trPr>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Число передач</w:t>
            </w:r>
          </w:p>
        </w:tc>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18 вперед, 4 назад</w:t>
            </w:r>
          </w:p>
        </w:tc>
        <w:tc>
          <w:tcPr>
            <w:shd w:val="clear" w:color="auto" w:fill="FFFFFF"/>
            <w:tcBorders>
              <w:left w:val="single" w:sz="4"/>
              <w:righ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18 вперед, 4 назад</w:t>
            </w:r>
          </w:p>
        </w:tc>
      </w:tr>
      <w:tr>
        <w:trPr>
          <w:trHeight w:val="480" w:hRule="exact"/>
        </w:trPr>
        <w:tc>
          <w:tcPr>
            <w:shd w:val="clear" w:color="auto" w:fill="FFFFFF"/>
            <w:tcBorders>
              <w:left w:val="single" w:sz="4"/>
              <w:top w:val="single" w:sz="4"/>
            </w:tcBorders>
            <w:vAlign w:val="top"/>
          </w:tcPr>
          <w:p>
            <w:pPr>
              <w:pStyle w:val="Style20"/>
              <w:framePr w:w="9163"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32"/>
              </w:rPr>
              <w:t>Скорость движения, км/ч, вперед/назад</w:t>
            </w:r>
          </w:p>
        </w:tc>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1,94-34,3/4,09-9,22</w:t>
            </w:r>
          </w:p>
        </w:tc>
        <w:tc>
          <w:tcPr>
            <w:shd w:val="clear" w:color="auto" w:fill="FFFFFF"/>
            <w:tcBorders>
              <w:left w:val="single" w:sz="4"/>
              <w:righ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1,94-34,3/4,09-9,22</w:t>
            </w:r>
          </w:p>
        </w:tc>
      </w:tr>
      <w:tr>
        <w:trPr>
          <w:trHeight w:val="245" w:hRule="exact"/>
        </w:trPr>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Год выпуска</w:t>
            </w:r>
          </w:p>
        </w:tc>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spacing w:before="0" w:after="0" w:line="190" w:lineRule="exact"/>
              <w:ind w:left="0" w:right="0" w:firstLine="0"/>
            </w:pPr>
            <w:r>
              <w:rPr>
                <w:rStyle w:val="CharStyle32"/>
              </w:rPr>
              <w:t>Не ранее 2021</w:t>
            </w:r>
          </w:p>
        </w:tc>
        <w:tc>
          <w:tcPr>
            <w:shd w:val="clear" w:color="auto" w:fill="FFFFFF"/>
            <w:tcBorders>
              <w:left w:val="single" w:sz="4"/>
              <w:righ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2"/>
              </w:rPr>
              <w:t>2022</w:t>
            </w:r>
          </w:p>
        </w:tc>
      </w:tr>
      <w:tr>
        <w:trPr>
          <w:trHeight w:val="1162" w:hRule="exact"/>
        </w:trPr>
        <w:tc>
          <w:tcPr>
            <w:shd w:val="clear" w:color="auto" w:fill="FFFFFF"/>
            <w:tcBorders>
              <w:left w:val="single" w:sz="4"/>
              <w:top w:val="single" w:sz="4"/>
            </w:tcBorders>
            <w:vAlign w:val="center"/>
          </w:tcPr>
          <w:p>
            <w:pPr>
              <w:pStyle w:val="Style20"/>
              <w:framePr w:w="9163"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Гарантия производителя</w:t>
            </w:r>
          </w:p>
        </w:tc>
        <w:tc>
          <w:tcPr>
            <w:shd w:val="clear" w:color="auto" w:fill="FFFFFF"/>
            <w:tcBorders>
              <w:left w:val="single" w:sz="4"/>
              <w:top w:val="single" w:sz="4"/>
            </w:tcBorders>
            <w:vAlign w:val="bottom"/>
          </w:tcPr>
          <w:p>
            <w:pPr>
              <w:pStyle w:val="Style20"/>
              <w:framePr w:w="9163" w:wrap="notBeside" w:vAnchor="text" w:hAnchor="text" w:xAlign="center" w:y="1"/>
              <w:widowControl w:val="0"/>
              <w:keepNext w:val="0"/>
              <w:keepLines w:val="0"/>
              <w:shd w:val="clear" w:color="auto" w:fill="auto"/>
              <w:bidi w:val="0"/>
              <w:spacing w:before="0" w:after="0" w:line="230" w:lineRule="exact"/>
              <w:ind w:left="0" w:right="0" w:firstLine="0"/>
            </w:pPr>
            <w:r>
              <w:rPr>
                <w:rStyle w:val="CharStyle32"/>
              </w:rPr>
              <w:t>Не менее 12 месяцев с даты поставки или 1 000 моточасов в зависимости от того, какое из указанных обстоятельств наступит ранее</w:t>
            </w:r>
          </w:p>
        </w:tc>
        <w:tc>
          <w:tcPr>
            <w:shd w:val="clear" w:color="auto" w:fill="FFFFFF"/>
            <w:tcBorders>
              <w:left w:val="single" w:sz="4"/>
              <w:right w:val="single" w:sz="4"/>
              <w:top w:val="single" w:sz="4"/>
            </w:tcBorders>
            <w:vAlign w:val="center"/>
          </w:tcPr>
          <w:p>
            <w:pPr>
              <w:pStyle w:val="Style20"/>
              <w:framePr w:w="9163" w:wrap="notBeside" w:vAnchor="text" w:hAnchor="text" w:xAlign="center" w:y="1"/>
              <w:widowControl w:val="0"/>
              <w:keepNext w:val="0"/>
              <w:keepLines w:val="0"/>
              <w:shd w:val="clear" w:color="auto" w:fill="auto"/>
              <w:bidi w:val="0"/>
              <w:spacing w:before="0" w:after="0" w:line="230" w:lineRule="exact"/>
              <w:ind w:left="0" w:right="0" w:firstLine="0"/>
            </w:pPr>
            <w:r>
              <w:rPr>
                <w:rStyle w:val="CharStyle32"/>
              </w:rPr>
              <w:t>12 месяцев с даты поставки или 1 000 моточасов в зависимости от того, какое из указанных обстоятельств наступит ранее</w:t>
            </w:r>
          </w:p>
        </w:tc>
      </w:tr>
      <w:tr>
        <w:trPr>
          <w:trHeight w:val="1646" w:hRule="exact"/>
        </w:trPr>
        <w:tc>
          <w:tcPr>
            <w:shd w:val="clear" w:color="auto" w:fill="FFFFFF"/>
            <w:tcBorders>
              <w:left w:val="single" w:sz="4"/>
              <w:top w:val="single" w:sz="4"/>
              <w:bottom w:val="single" w:sz="4"/>
            </w:tcBorders>
            <w:vAlign w:val="center"/>
          </w:tcPr>
          <w:p>
            <w:pPr>
              <w:pStyle w:val="Style20"/>
              <w:framePr w:w="9163"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2"/>
              </w:rPr>
              <w:t>Гарантия поставщика</w:t>
            </w:r>
          </w:p>
        </w:tc>
        <w:tc>
          <w:tcPr>
            <w:shd w:val="clear" w:color="auto" w:fill="FFFFFF"/>
            <w:tcBorders>
              <w:left w:val="single" w:sz="4"/>
              <w:top w:val="single" w:sz="4"/>
              <w:bottom w:val="single" w:sz="4"/>
            </w:tcBorders>
            <w:vAlign w:val="bottom"/>
          </w:tcPr>
          <w:p>
            <w:pPr>
              <w:pStyle w:val="Style20"/>
              <w:framePr w:w="9163" w:wrap="notBeside" w:vAnchor="text" w:hAnchor="text" w:xAlign="center" w:y="1"/>
              <w:widowControl w:val="0"/>
              <w:keepNext w:val="0"/>
              <w:keepLines w:val="0"/>
              <w:shd w:val="clear" w:color="auto" w:fill="auto"/>
              <w:bidi w:val="0"/>
              <w:spacing w:before="0" w:after="0" w:line="230" w:lineRule="exact"/>
              <w:ind w:left="0" w:right="0" w:firstLine="0"/>
            </w:pPr>
            <w:r>
              <w:rPr>
                <w:rStyle w:val="CharStyle32"/>
              </w:rPr>
              <w:t>Не менее 12 месяцев с даты поставки или 1 000 моточасов в зависимости от того, какое из указанных обстоятельств наступит ранее, но не менее гарантии производителя производителя</w:t>
            </w:r>
          </w:p>
        </w:tc>
        <w:tc>
          <w:tcPr>
            <w:shd w:val="clear" w:color="auto" w:fill="FFFFFF"/>
            <w:tcBorders>
              <w:left w:val="single" w:sz="4"/>
              <w:right w:val="single" w:sz="4"/>
              <w:top w:val="single" w:sz="4"/>
              <w:bottom w:val="single" w:sz="4"/>
            </w:tcBorders>
            <w:vAlign w:val="center"/>
          </w:tcPr>
          <w:p>
            <w:pPr>
              <w:pStyle w:val="Style20"/>
              <w:framePr w:w="9163" w:wrap="notBeside" w:vAnchor="text" w:hAnchor="text" w:xAlign="center" w:y="1"/>
              <w:widowControl w:val="0"/>
              <w:keepNext w:val="0"/>
              <w:keepLines w:val="0"/>
              <w:shd w:val="clear" w:color="auto" w:fill="auto"/>
              <w:bidi w:val="0"/>
              <w:spacing w:before="0" w:after="0" w:line="230" w:lineRule="exact"/>
              <w:ind w:left="0" w:right="0" w:firstLine="0"/>
            </w:pPr>
            <w:r>
              <w:rPr>
                <w:rStyle w:val="CharStyle32"/>
              </w:rPr>
              <w:t>12 месяцев с даты поставки или 1 000 моточасов в зависимости от того, какое из указанных обстоятельств наступит ранее</w:t>
            </w:r>
          </w:p>
        </w:tc>
      </w:tr>
    </w:tbl>
    <w:p>
      <w:pPr>
        <w:widowControl w:val="0"/>
        <w:rPr>
          <w:sz w:val="2"/>
          <w:szCs w:val="2"/>
        </w:rPr>
      </w:pPr>
    </w:p>
    <w:p>
      <w:pPr>
        <w:pStyle w:val="Style20"/>
        <w:widowControl w:val="0"/>
        <w:keepNext w:val="0"/>
        <w:keepLines w:val="0"/>
        <w:shd w:val="clear" w:color="auto" w:fill="auto"/>
        <w:bidi w:val="0"/>
        <w:spacing w:before="266" w:after="0" w:line="370" w:lineRule="exact"/>
        <w:ind w:left="40" w:right="80" w:firstLine="580"/>
      </w:pPr>
      <w:r>
        <w:rPr>
          <w:lang w:val="ru-RU" w:eastAsia="ru-RU" w:bidi="ru-RU"/>
          <w:w w:val="100"/>
          <w:spacing w:val="0"/>
          <w:color w:val="000000"/>
          <w:position w:val="0"/>
        </w:rPr>
        <w:t>Вместе с тем, в Инструкции по заполнению заявки на участие в электронном аукционе на поставку товара (электронный документ в соответствии с требованиями пункта 3 части 2 статьи 42 Закона о контрактной системе) указано в том числе следующее:</w:t>
      </w:r>
    </w:p>
    <w:p>
      <w:pPr>
        <w:pStyle w:val="Style35"/>
        <w:widowControl w:val="0"/>
        <w:keepNext w:val="0"/>
        <w:keepLines w:val="0"/>
        <w:shd w:val="clear" w:color="auto" w:fill="auto"/>
        <w:bidi w:val="0"/>
        <w:spacing w:before="0" w:after="0"/>
        <w:ind w:left="40" w:right="80" w:firstLine="580"/>
      </w:pPr>
      <w:r>
        <w:rPr>
          <w:lang w:val="ru-RU" w:eastAsia="ru-RU" w:bidi="ru-RU"/>
          <w:w w:val="100"/>
          <w:spacing w:val="0"/>
          <w:color w:val="000000"/>
          <w:position w:val="0"/>
        </w:rPr>
        <w:t>«Заявка на участие в закупке должна содержать предложение участника закупки в отношении объекта закупки:</w:t>
      </w:r>
    </w:p>
    <w:p>
      <w:pPr>
        <w:pStyle w:val="Style35"/>
        <w:numPr>
          <w:ilvl w:val="0"/>
          <w:numId w:val="3"/>
        </w:numPr>
        <w:widowControl w:val="0"/>
        <w:keepNext w:val="0"/>
        <w:keepLines w:val="0"/>
        <w:shd w:val="clear" w:color="auto" w:fill="auto"/>
        <w:bidi w:val="0"/>
        <w:spacing w:before="0" w:after="0"/>
        <w:ind w:left="40" w:right="80" w:firstLine="580"/>
      </w:pPr>
      <w:r>
        <w:rPr>
          <w:rStyle w:val="CharStyle37"/>
          <w:b w:val="0"/>
          <w:bCs w:val="0"/>
          <w:i w:val="0"/>
          <w:iCs w:val="0"/>
        </w:rPr>
        <w:t xml:space="preserve"> </w:t>
      </w:r>
      <w:r>
        <w:rPr>
          <w:lang w:val="ru-RU" w:eastAsia="ru-RU" w:bidi="ru-RU"/>
          <w:w w:val="100"/>
          <w:spacing w:val="0"/>
          <w:color w:val="000000"/>
          <w:position w:val="0"/>
        </w:rPr>
        <w:t>наименование страны происхождения товара в соответствии с общероссийским классификатором, используемым для идентификации стран мира;</w:t>
      </w:r>
    </w:p>
    <w:p>
      <w:pPr>
        <w:pStyle w:val="Style35"/>
        <w:numPr>
          <w:ilvl w:val="0"/>
          <w:numId w:val="3"/>
        </w:numPr>
        <w:widowControl w:val="0"/>
        <w:keepNext w:val="0"/>
        <w:keepLines w:val="0"/>
        <w:shd w:val="clear" w:color="auto" w:fill="auto"/>
        <w:bidi w:val="0"/>
        <w:spacing w:before="0" w:after="0"/>
        <w:ind w:left="40" w:right="80" w:firstLine="580"/>
      </w:pPr>
      <w:r>
        <w:rPr>
          <w:lang w:val="ru-RU" w:eastAsia="ru-RU" w:bidi="ru-RU"/>
          <w:w w:val="100"/>
          <w:spacing w:val="0"/>
          <w:color w:val="000000"/>
          <w:position w:val="0"/>
        </w:rPr>
        <w:t xml:space="preserve"> характеристики предлагаемого участником закупки товара, соответствующие показателям, установленным в описании объекта закупки, позволяющим определить соответствие закупаемого товара, установленным заказчиком требованиям, товарный знак (при наличии у товара товарного знака).</w:t>
      </w:r>
    </w:p>
    <w:p>
      <w:pPr>
        <w:pStyle w:val="Style35"/>
        <w:widowControl w:val="0"/>
        <w:keepNext w:val="0"/>
        <w:keepLines w:val="0"/>
        <w:shd w:val="clear" w:color="auto" w:fill="auto"/>
        <w:bidi w:val="0"/>
        <w:spacing w:before="0" w:after="0"/>
        <w:ind w:left="40" w:right="80" w:firstLine="580"/>
      </w:pPr>
      <w:r>
        <w:rPr>
          <w:lang w:val="ru-RU" w:eastAsia="ru-RU" w:bidi="ru-RU"/>
          <w:w w:val="100"/>
          <w:spacing w:val="0"/>
          <w:color w:val="000000"/>
          <w:position w:val="0"/>
        </w:rPr>
        <w:t>Подача заявки на участие в закупке означает согласие участника закупки, подавшего такую заявку, на поставку товара на условиях, предусмотренных извещением об осуществлении закупки, и в соответствии с заявкой такого участника закупки на участие в закупке.</w:t>
      </w:r>
    </w:p>
    <w:p>
      <w:pPr>
        <w:pStyle w:val="Style35"/>
        <w:widowControl w:val="0"/>
        <w:keepNext w:val="0"/>
        <w:keepLines w:val="0"/>
        <w:shd w:val="clear" w:color="auto" w:fill="auto"/>
        <w:bidi w:val="0"/>
        <w:spacing w:before="0" w:after="0"/>
        <w:ind w:left="40" w:right="80" w:firstLine="580"/>
      </w:pPr>
      <w:r>
        <w:rPr>
          <w:lang w:val="ru-RU" w:eastAsia="ru-RU" w:bidi="ru-RU"/>
          <w:w w:val="100"/>
          <w:spacing w:val="0"/>
          <w:color w:val="000000"/>
          <w:position w:val="0"/>
        </w:rPr>
        <w:t>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«Описание объекта закупки». Требования заказчика к показателям товара (характеристикам товара): указаны в таблице «Описание объекта закупки», в которой содержатся требования заказчика к показателям товара.</w:t>
      </w:r>
    </w:p>
    <w:p>
      <w:pPr>
        <w:pStyle w:val="Style38"/>
        <w:widowControl w:val="0"/>
        <w:keepNext w:val="0"/>
        <w:keepLines w:val="0"/>
        <w:shd w:val="clear" w:color="auto" w:fill="auto"/>
        <w:bidi w:val="0"/>
        <w:spacing w:before="0" w:after="0"/>
        <w:ind w:left="20" w:right="20"/>
      </w:pPr>
      <w:r>
        <w:rPr>
          <w:lang w:val="ru-RU" w:eastAsia="ru-RU" w:bidi="ru-RU"/>
          <w:w w:val="100"/>
          <w:spacing w:val="0"/>
          <w:color w:val="000000"/>
          <w:position w:val="0"/>
        </w:rPr>
        <w:t>При описании характеристик товара участнику закупки необходимо учитывать следующее:</w:t>
      </w:r>
    </w:p>
    <w:p>
      <w:pPr>
        <w:pStyle w:val="Style38"/>
        <w:widowControl w:val="0"/>
        <w:keepNext w:val="0"/>
        <w:keepLines w:val="0"/>
        <w:shd w:val="clear" w:color="auto" w:fill="auto"/>
        <w:bidi w:val="0"/>
        <w:spacing w:before="0" w:after="262"/>
        <w:ind w:left="20" w:right="20"/>
      </w:pPr>
      <w:r>
        <w:rPr>
          <w:lang w:val="ru-RU" w:eastAsia="ru-RU" w:bidi="ru-RU"/>
          <w:w w:val="100"/>
          <w:spacing w:val="0"/>
          <w:color w:val="000000"/>
          <w:position w:val="0"/>
        </w:rPr>
        <w:t>5) В случае, если Заказчик, для определения соответствия его потребностям или эквивалентности предлагаемого к поставке или используемого при выполнении работ (оказании услуг) товара, указал два или более показателя (значения), причем второй и последующие показатели (значения) заключены в скобки, то показатели (значения), заключенные в скобки, рассматриваются как пояснительные слова, как- либо дополняющие показатель (значение), не заключенный в скобки. Участник размещения заказа в своей заявке, указывая конкретные показатели, соответствующие требованиям заказчика может применять показатель (значение) не заключенное в скобки, как без пояснительного слова, так и с его применением».</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Таким образом, на основании вышеизложенного следует, что участник закупки в своей заявке должен был указать конкретное значение характеристики с указанием показателя (значения) заключенного в скобке, а в рассматриваемом случае в отношении параметра «мощность» следовало указать конкретное значение в «кВт» и «л.с».</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свою очередь, согласно Протокола подведения итогов определения поставщика (подрядчика, исполнителя) от 22.06.2022 №ИЭА1 заявка ООО «ТехноСейл» подлежала отклонению на основании пункта 1 части 12 статьи 48 Закона о контрактной системе, поскольку в соответствии с инструкцией по заполнению заявки на участие в электронном аукционе на поставку товара, в заявке Общества на участие в закупке не представлена информация, предусмотренная извещением об осуществлении закупки в части «Описание объекта закупки», а именно: не указана характеристика «мощность», измеряемая в «кВт».</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Кроме того, в составе заявки ООО «ТехноСейл» содержится в том числе документ - выписка из евразийского реестра промышленных товаров государств - членов Евразийского экономического союза с регистрационным номером записи - 000003719. В выписке указана в том числе следующая информация:</w:t>
      </w:r>
    </w:p>
    <w:p>
      <w:pPr>
        <w:pStyle w:val="Style23"/>
        <w:widowControl w:val="0"/>
        <w:keepNext w:val="0"/>
        <w:keepLines w:val="0"/>
        <w:shd w:val="clear" w:color="auto" w:fill="auto"/>
        <w:bidi w:val="0"/>
        <w:spacing w:before="0" w:after="0"/>
        <w:ind w:left="20" w:right="20"/>
      </w:pPr>
      <w:r>
        <w:rPr>
          <w:lang w:val="ru-RU" w:eastAsia="ru-RU" w:bidi="ru-RU"/>
          <w:w w:val="100"/>
          <w:spacing w:val="0"/>
          <w:color w:val="000000"/>
          <w:position w:val="0"/>
        </w:rPr>
        <w:t>«6. Наименование промышленного товара государства-члена и его классификационный код в соответствии с ТН ВЭД ЕАЭС: Трактор колесный сельскохозяйственный «БЕЛАРУС», тип 900, модели; Беларус- 82.1, 8701 93 100 0 (Код ОКПД2 - 28.30.23.110, Баллов -184)».</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Вместе с тем, как пояснил представитель Заказчика, указание значения Заявителем в заявке по характеристике «мощность» - «81,6» относится к измерению мощности в «л.с.», поскольку, согласно общедоступной информации, размещенной на официальных сайтах: ОАО «Минский</w:t>
        <w:br w:type="page"/>
        <w:t>тракторный завод» и официальных дилеров в Российской Федерации, Трактор колесный сельскохозяйственный «БЕЛАРУС», тип 900, модель «Беларус-82.1» (заявленный к поставке ООО «ТехноСейл») имеет мощность: 59,6 и 60 (в зависимости от марки (модели) двигателя), измеряемую в «кВт».</w:t>
      </w:r>
    </w:p>
    <w:p>
      <w:pPr>
        <w:pStyle w:val="Style20"/>
        <w:widowControl w:val="0"/>
        <w:keepNext w:val="0"/>
        <w:keepLines w:val="0"/>
        <w:shd w:val="clear" w:color="auto" w:fill="auto"/>
        <w:bidi w:val="0"/>
        <w:spacing w:before="0" w:after="0" w:line="370" w:lineRule="exact"/>
        <w:ind w:left="60" w:right="40" w:firstLine="540"/>
      </w:pPr>
      <w:r>
        <w:rPr>
          <w:lang w:val="ru-RU" w:eastAsia="ru-RU" w:bidi="ru-RU"/>
          <w:w w:val="100"/>
          <w:spacing w:val="0"/>
          <w:color w:val="000000"/>
          <w:position w:val="0"/>
        </w:rPr>
        <w:t>Комиссия, изучив в полном объеме извещение об аукционе, электронные документы к извещению, заявки участников Аукциона, заслушав пояснения представителя Заказчика, приходит к выводу, что комиссия по осуществлению закупок правомерно отклонила заявку участника аукциона - ООО «ТехноСейл» на основании пункта 1 части 12 статьи 48 Закона о контрактной системе.</w:t>
      </w:r>
    </w:p>
    <w:p>
      <w:pPr>
        <w:pStyle w:val="Style20"/>
        <w:widowControl w:val="0"/>
        <w:keepNext w:val="0"/>
        <w:keepLines w:val="0"/>
        <w:shd w:val="clear" w:color="auto" w:fill="auto"/>
        <w:bidi w:val="0"/>
        <w:spacing w:before="0" w:after="0" w:line="370" w:lineRule="exact"/>
        <w:ind w:left="60" w:right="40" w:firstLine="540"/>
      </w:pPr>
      <w:r>
        <w:rPr>
          <w:lang w:val="ru-RU" w:eastAsia="ru-RU" w:bidi="ru-RU"/>
          <w:w w:val="100"/>
          <w:spacing w:val="0"/>
          <w:color w:val="000000"/>
          <w:position w:val="0"/>
        </w:rPr>
        <w:t>В силу частей 1 и 2 статьи 105 Закона о контрактной системе обязанность доказывания нарушения Заказчиком, комиссией уполномоченного органа своих прав и законных интересов лежит на подателе жалобы, однако, Заявителем в составе жалобы не представлено документов и сведений, подтверждающих обоснованность указанного довода жалобы, а также свидетельствующих о нарушении комиссией по осуществлению закупок уполномоченного органа положений Закона о контрактной системе при определении победителя аукциона.</w:t>
      </w:r>
    </w:p>
    <w:p>
      <w:pPr>
        <w:pStyle w:val="Style20"/>
        <w:widowControl w:val="0"/>
        <w:keepNext w:val="0"/>
        <w:keepLines w:val="0"/>
        <w:shd w:val="clear" w:color="auto" w:fill="auto"/>
        <w:bidi w:val="0"/>
        <w:spacing w:before="0" w:after="0" w:line="370" w:lineRule="exact"/>
        <w:ind w:left="60" w:right="40" w:firstLine="540"/>
      </w:pPr>
      <w:r>
        <w:rPr>
          <w:lang w:val="ru-RU" w:eastAsia="ru-RU" w:bidi="ru-RU"/>
          <w:w w:val="100"/>
          <w:spacing w:val="0"/>
          <w:color w:val="000000"/>
          <w:position w:val="0"/>
        </w:rPr>
        <w:t>На основании имеющихся документов и сведений, а также с учетом пояснений представителей сторон, Комиссия приходит к выводу, что довод жалобы Заявителя не нашел своего подтверждения и является необоснованным, поскольку иного Заявителем не доказано.</w:t>
      </w:r>
    </w:p>
    <w:p>
      <w:pPr>
        <w:pStyle w:val="Style20"/>
        <w:widowControl w:val="0"/>
        <w:keepNext w:val="0"/>
        <w:keepLines w:val="0"/>
        <w:shd w:val="clear" w:color="auto" w:fill="auto"/>
        <w:bidi w:val="0"/>
        <w:spacing w:before="0" w:after="432" w:line="370" w:lineRule="exact"/>
        <w:ind w:left="60" w:right="40" w:firstLine="540"/>
      </w:pPr>
      <w:r>
        <w:rPr>
          <w:lang w:val="ru-RU" w:eastAsia="ru-RU" w:bidi="ru-RU"/>
          <w:w w:val="100"/>
          <w:spacing w:val="0"/>
          <w:color w:val="000000"/>
          <w:position w:val="0"/>
        </w:rPr>
        <w:t>На основании вышеизложенного и руководствуясь положениями Закона о контрактной системе и Административного регламента, Комиссия,</w:t>
      </w:r>
    </w:p>
    <w:p>
      <w:pPr>
        <w:pStyle w:val="Style29"/>
        <w:widowControl w:val="0"/>
        <w:keepNext/>
        <w:keepLines/>
        <w:shd w:val="clear" w:color="auto" w:fill="auto"/>
        <w:bidi w:val="0"/>
        <w:spacing w:before="0" w:after="418" w:line="280" w:lineRule="exact"/>
        <w:ind w:left="0" w:right="20" w:firstLine="0"/>
      </w:pPr>
      <w:bookmarkStart w:id="2" w:name="bookmark2"/>
      <w:r>
        <w:rPr>
          <w:lang w:val="ru-RU" w:eastAsia="ru-RU" w:bidi="ru-RU"/>
          <w:w w:val="100"/>
          <w:spacing w:val="0"/>
          <w:color w:val="000000"/>
          <w:position w:val="0"/>
        </w:rPr>
        <w:t>РЕШИЛА:</w:t>
      </w:r>
      <w:bookmarkEnd w:id="2"/>
    </w:p>
    <w:p>
      <w:pPr>
        <w:pStyle w:val="Style20"/>
        <w:widowControl w:val="0"/>
        <w:keepNext w:val="0"/>
        <w:keepLines w:val="0"/>
        <w:shd w:val="clear" w:color="auto" w:fill="auto"/>
        <w:bidi w:val="0"/>
        <w:jc w:val="left"/>
        <w:spacing w:before="0" w:after="237" w:line="260" w:lineRule="exact"/>
        <w:ind w:left="880" w:right="0" w:firstLine="0"/>
      </w:pPr>
      <w:r>
        <w:rPr>
          <w:lang w:val="ru-RU" w:eastAsia="ru-RU" w:bidi="ru-RU"/>
          <w:w w:val="100"/>
          <w:spacing w:val="0"/>
          <w:color w:val="000000"/>
          <w:position w:val="0"/>
        </w:rPr>
        <w:t>Признать жалобу ООО «ТехноСейл» необоснованной.</w:t>
      </w:r>
    </w:p>
    <w:p>
      <w:pPr>
        <w:framePr w:h="1046" w:wrap="around" w:vAnchor="text" w:hAnchor="margin" w:x="5759" w:y="836"/>
        <w:widowControl w:val="0"/>
        <w:jc w:val="center"/>
        <w:rPr>
          <w:sz w:val="2"/>
          <w:szCs w:val="2"/>
        </w:rPr>
      </w:pPr>
      <w:r>
        <w:pict>
          <v:shape id="_x0000_s1029" type="#_x0000_t75" style="width:192pt;height:52pt;">
            <v:imagedata r:id="rId9" r:href="rId10"/>
          </v:shape>
        </w:pict>
      </w:r>
    </w:p>
    <w:p>
      <w:pPr>
        <w:pStyle w:val="Style35"/>
        <w:widowControl w:val="0"/>
        <w:keepNext w:val="0"/>
        <w:keepLines w:val="0"/>
        <w:shd w:val="clear" w:color="auto" w:fill="auto"/>
        <w:bidi w:val="0"/>
        <w:spacing w:before="0" w:after="210" w:line="293" w:lineRule="exact"/>
        <w:ind w:left="60" w:right="4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20"/>
        <w:widowControl w:val="0"/>
        <w:keepNext w:val="0"/>
        <w:keepLines w:val="0"/>
        <w:shd w:val="clear" w:color="auto" w:fill="auto"/>
        <w:bidi w:val="0"/>
        <w:jc w:val="left"/>
        <w:spacing w:before="0" w:after="0" w:line="480" w:lineRule="exact"/>
        <w:ind w:left="60" w:right="2360" w:firstLine="0"/>
      </w:pPr>
      <w:r>
        <w:rPr>
          <w:lang w:val="ru-RU" w:eastAsia="ru-RU" w:bidi="ru-RU"/>
          <w:w w:val="100"/>
          <w:spacing w:val="0"/>
          <w:color w:val="000000"/>
          <w:position w:val="0"/>
        </w:rPr>
        <w:t>Председатель комиссии: Члены комиссии:</w:t>
      </w:r>
    </w:p>
    <w:sectPr>
      <w:type w:val="continuous"/>
      <w:pgSz w:w="11909" w:h="16838"/>
      <w:pgMar w:top="1013" w:left="914" w:right="914" w:bottom="764" w:header="0" w:footer="3" w:gutter="21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0.15pt;margin-top:39.5pt;width:10.3pt;height:8.9pt;z-index:-188744064;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90.15pt;margin-top:39.5pt;width:10.3pt;height:8.9pt;z-index:-188744063;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bCs/>
        <w:i/>
        <w:iCs/>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u w:val="single"/>
      <w:w w:val="100"/>
      <w:spacing w:val="0"/>
      <w:color w:val="000000"/>
      <w:position w:val="0"/>
    </w:rPr>
  </w:style>
  <w:style w:type="character" w:customStyle="1" w:styleId="CharStyle6">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3"/>
    </w:rPr>
  </w:style>
  <w:style w:type="character" w:customStyle="1" w:styleId="CharStyle8">
    <w:name w:val="Основной текст (4) Exact"/>
    <w:basedOn w:val="DefaultParagraphFont"/>
    <w:link w:val="Style7"/>
    <w:rPr>
      <w:b w:val="0"/>
      <w:bCs w:val="0"/>
      <w:i w:val="0"/>
      <w:iCs w:val="0"/>
      <w:u w:val="none"/>
      <w:strike w:val="0"/>
      <w:smallCaps w:val="0"/>
      <w:sz w:val="26"/>
      <w:szCs w:val="26"/>
      <w:rFonts w:ascii="Times New Roman" w:eastAsia="Times New Roman" w:hAnsi="Times New Roman" w:cs="Times New Roman"/>
      <w:w w:val="60"/>
      <w:spacing w:val="12"/>
    </w:rPr>
  </w:style>
  <w:style w:type="character" w:customStyle="1" w:styleId="CharStyle10">
    <w:name w:val="Основной текст (3)_"/>
    <w:basedOn w:val="DefaultParagraphFont"/>
    <w:link w:val="Style9"/>
    <w:rPr>
      <w:b/>
      <w:bCs/>
      <w:i w:val="0"/>
      <w:iCs w:val="0"/>
      <w:u w:val="none"/>
      <w:strike w:val="0"/>
      <w:smallCaps w:val="0"/>
      <w:sz w:val="19"/>
      <w:szCs w:val="19"/>
      <w:rFonts w:ascii="Times New Roman" w:eastAsia="Times New Roman" w:hAnsi="Times New Roman" w:cs="Times New Roman"/>
    </w:rPr>
  </w:style>
  <w:style w:type="character" w:customStyle="1" w:styleId="CharStyle11">
    <w:name w:val="Основной текст (3) + Не полужирный"/>
    <w:basedOn w:val="CharStyle10"/>
    <w:rPr>
      <w:lang w:val="ru-RU" w:eastAsia="ru-RU" w:bidi="ru-RU"/>
      <w:b/>
      <w:bCs/>
      <w:w w:val="100"/>
      <w:spacing w:val="0"/>
      <w:color w:val="000000"/>
      <w:position w:val="0"/>
    </w:rPr>
  </w:style>
  <w:style w:type="character" w:customStyle="1" w:styleId="CharStyle12">
    <w:name w:val="Основной текст (3) + 10,5 pt"/>
    <w:basedOn w:val="CharStyle10"/>
    <w:rPr>
      <w:lang w:val="ru-RU" w:eastAsia="ru-RU" w:bidi="ru-RU"/>
      <w:sz w:val="21"/>
      <w:szCs w:val="21"/>
      <w:w w:val="100"/>
      <w:spacing w:val="0"/>
      <w:color w:val="000000"/>
      <w:position w:val="0"/>
    </w:rPr>
  </w:style>
  <w:style w:type="character" w:customStyle="1" w:styleId="CharStyle13">
    <w:name w:val="Основной текст (2) + 9,5 pt"/>
    <w:basedOn w:val="CharStyle4"/>
    <w:rPr>
      <w:lang w:val="en-US" w:eastAsia="en-US" w:bidi="en-US"/>
      <w:sz w:val="19"/>
      <w:szCs w:val="19"/>
      <w:w w:val="100"/>
      <w:spacing w:val="0"/>
      <w:color w:val="000000"/>
      <w:position w:val="0"/>
    </w:rPr>
  </w:style>
  <w:style w:type="character" w:customStyle="1" w:styleId="CharStyle14">
    <w:name w:val="Основной текст (3) Exact"/>
    <w:basedOn w:val="DefaultParagraphFont"/>
    <w:rPr>
      <w:b/>
      <w:bCs/>
      <w:i w:val="0"/>
      <w:iCs w:val="0"/>
      <w:u w:val="none"/>
      <w:strike w:val="0"/>
      <w:smallCaps w:val="0"/>
      <w:sz w:val="17"/>
      <w:szCs w:val="17"/>
      <w:rFonts w:ascii="Times New Roman" w:eastAsia="Times New Roman" w:hAnsi="Times New Roman" w:cs="Times New Roman"/>
      <w:spacing w:val="-3"/>
    </w:rPr>
  </w:style>
  <w:style w:type="character" w:customStyle="1" w:styleId="CharStyle16">
    <w:name w:val="Основной текст (5) Exact"/>
    <w:basedOn w:val="DefaultParagraphFont"/>
    <w:link w:val="Style15"/>
    <w:rPr>
      <w:b w:val="0"/>
      <w:bCs w:val="0"/>
      <w:i w:val="0"/>
      <w:iCs w:val="0"/>
      <w:u w:val="none"/>
      <w:strike w:val="0"/>
      <w:smallCaps w:val="0"/>
      <w:sz w:val="12"/>
      <w:szCs w:val="12"/>
      <w:rFonts w:ascii="Trebuchet MS" w:eastAsia="Trebuchet MS" w:hAnsi="Trebuchet MS" w:cs="Trebuchet MS"/>
      <w:spacing w:val="9"/>
    </w:rPr>
  </w:style>
  <w:style w:type="character" w:customStyle="1" w:styleId="CharStyle18">
    <w:name w:val="Заголовок №1_"/>
    <w:basedOn w:val="DefaultParagraphFont"/>
    <w:link w:val="Style17"/>
    <w:rPr>
      <w:b/>
      <w:bCs/>
      <w:i w:val="0"/>
      <w:iCs w:val="0"/>
      <w:u w:val="none"/>
      <w:strike w:val="0"/>
      <w:smallCaps w:val="0"/>
      <w:sz w:val="28"/>
      <w:szCs w:val="28"/>
      <w:rFonts w:ascii="Times New Roman" w:eastAsia="Times New Roman" w:hAnsi="Times New Roman" w:cs="Times New Roman"/>
    </w:rPr>
  </w:style>
  <w:style w:type="character" w:customStyle="1" w:styleId="CharStyle19">
    <w:name w:val="Заголовок №1"/>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 Интервал 1 pt"/>
    <w:basedOn w:val="CharStyle21"/>
    <w:rPr>
      <w:lang w:val="ru-RU" w:eastAsia="ru-RU" w:bidi="ru-RU"/>
      <w:w w:val="100"/>
      <w:spacing w:val="30"/>
      <w:color w:val="000000"/>
      <w:position w:val="0"/>
    </w:rPr>
  </w:style>
  <w:style w:type="character" w:customStyle="1" w:styleId="CharStyle24">
    <w:name w:val="Основной текст (6)_"/>
    <w:basedOn w:val="DefaultParagraphFont"/>
    <w:link w:val="Style23"/>
    <w:rPr>
      <w:b w:val="0"/>
      <w:bCs w:val="0"/>
      <w:i/>
      <w:iCs/>
      <w:u w:val="none"/>
      <w:strike w:val="0"/>
      <w:smallCaps w:val="0"/>
      <w:sz w:val="26"/>
      <w:szCs w:val="26"/>
      <w:rFonts w:ascii="Times New Roman" w:eastAsia="Times New Roman" w:hAnsi="Times New Roman" w:cs="Times New Roman"/>
    </w:rPr>
  </w:style>
  <w:style w:type="character" w:customStyle="1" w:styleId="CharStyle26">
    <w:name w:val="Колонтитул_"/>
    <w:basedOn w:val="DefaultParagraphFont"/>
    <w:link w:val="Style25"/>
    <w:rPr>
      <w:b w:val="0"/>
      <w:bCs w:val="0"/>
      <w:i w:val="0"/>
      <w:iCs w:val="0"/>
      <w:u w:val="none"/>
      <w:strike w:val="0"/>
      <w:smallCaps w:val="0"/>
      <w:sz w:val="23"/>
      <w:szCs w:val="23"/>
      <w:rFonts w:ascii="Times New Roman" w:eastAsia="Times New Roman" w:hAnsi="Times New Roman" w:cs="Times New Roman"/>
    </w:rPr>
  </w:style>
  <w:style w:type="character" w:customStyle="1" w:styleId="CharStyle27">
    <w:name w:val="Колонтитул"/>
    <w:basedOn w:val="CharStyle26"/>
    <w:rPr>
      <w:lang w:val="ru-RU" w:eastAsia="ru-RU" w:bidi="ru-RU"/>
      <w:w w:val="100"/>
      <w:spacing w:val="0"/>
      <w:color w:val="000000"/>
      <w:position w:val="0"/>
    </w:rPr>
  </w:style>
  <w:style w:type="character" w:customStyle="1" w:styleId="CharStyle28">
    <w:name w:val="Основной текст + Курсив"/>
    <w:basedOn w:val="CharStyle21"/>
    <w:rPr>
      <w:lang w:val="ru-RU" w:eastAsia="ru-RU" w:bidi="ru-RU"/>
      <w:i/>
      <w:iCs/>
      <w:w w:val="100"/>
      <w:spacing w:val="0"/>
      <w:color w:val="000000"/>
      <w:position w:val="0"/>
    </w:rPr>
  </w:style>
  <w:style w:type="character" w:customStyle="1" w:styleId="CharStyle30">
    <w:name w:val="Заголовок №1 (2)_"/>
    <w:basedOn w:val="DefaultParagraphFont"/>
    <w:link w:val="Style29"/>
    <w:rPr>
      <w:b/>
      <w:bCs/>
      <w:i w:val="0"/>
      <w:iCs w:val="0"/>
      <w:u w:val="none"/>
      <w:strike w:val="0"/>
      <w:smallCaps w:val="0"/>
      <w:sz w:val="28"/>
      <w:szCs w:val="28"/>
      <w:rFonts w:ascii="Times New Roman" w:eastAsia="Times New Roman" w:hAnsi="Times New Roman" w:cs="Times New Roman"/>
    </w:rPr>
  </w:style>
  <w:style w:type="character" w:customStyle="1" w:styleId="CharStyle31">
    <w:name w:val="Основной текст + Интервал -2 pt"/>
    <w:basedOn w:val="CharStyle21"/>
    <w:rPr>
      <w:lang w:val="ru-RU" w:eastAsia="ru-RU" w:bidi="ru-RU"/>
      <w:w w:val="100"/>
      <w:spacing w:val="-40"/>
      <w:color w:val="000000"/>
      <w:position w:val="0"/>
    </w:rPr>
  </w:style>
  <w:style w:type="character" w:customStyle="1" w:styleId="CharStyle32">
    <w:name w:val="Основной текст + 9,5 pt,Полужирный"/>
    <w:basedOn w:val="CharStyle21"/>
    <w:rPr>
      <w:lang w:val="ru-RU" w:eastAsia="ru-RU" w:bidi="ru-RU"/>
      <w:b/>
      <w:bCs/>
      <w:sz w:val="19"/>
      <w:szCs w:val="19"/>
      <w:w w:val="100"/>
      <w:spacing w:val="0"/>
      <w:color w:val="000000"/>
      <w:position w:val="0"/>
    </w:rPr>
  </w:style>
  <w:style w:type="character" w:customStyle="1" w:styleId="CharStyle33">
    <w:name w:val="Основной текст + 10,5 pt,Полужирный"/>
    <w:basedOn w:val="CharStyle21"/>
    <w:rPr>
      <w:lang w:val="ru-RU" w:eastAsia="ru-RU" w:bidi="ru-RU"/>
      <w:b/>
      <w:bCs/>
      <w:sz w:val="21"/>
      <w:szCs w:val="21"/>
      <w:w w:val="100"/>
      <w:spacing w:val="0"/>
      <w:color w:val="000000"/>
      <w:position w:val="0"/>
    </w:rPr>
  </w:style>
  <w:style w:type="character" w:customStyle="1" w:styleId="CharStyle34">
    <w:name w:val="Основной текст + 10,5 pt,Полужирный"/>
    <w:basedOn w:val="CharStyle21"/>
    <w:rPr>
      <w:lang w:val="ru-RU" w:eastAsia="ru-RU" w:bidi="ru-RU"/>
      <w:b/>
      <w:bCs/>
      <w:sz w:val="21"/>
      <w:szCs w:val="21"/>
      <w:w w:val="100"/>
      <w:spacing w:val="0"/>
      <w:color w:val="000000"/>
      <w:position w:val="0"/>
    </w:rPr>
  </w:style>
  <w:style w:type="character" w:customStyle="1" w:styleId="CharStyle36">
    <w:name w:val="Основной текст (7)_"/>
    <w:basedOn w:val="DefaultParagraphFont"/>
    <w:link w:val="Style35"/>
    <w:rPr>
      <w:b/>
      <w:bCs/>
      <w:i/>
      <w:iCs/>
      <w:u w:val="none"/>
      <w:strike w:val="0"/>
      <w:smallCaps w:val="0"/>
      <w:sz w:val="20"/>
      <w:szCs w:val="20"/>
      <w:rFonts w:ascii="Times New Roman" w:eastAsia="Times New Roman" w:hAnsi="Times New Roman" w:cs="Times New Roman"/>
    </w:rPr>
  </w:style>
  <w:style w:type="character" w:customStyle="1" w:styleId="CharStyle37">
    <w:name w:val="Основной текст (7) + 4 pt,Не полужирный,Не курсив"/>
    <w:basedOn w:val="CharStyle36"/>
    <w:rPr>
      <w:lang w:val="ru-RU" w:eastAsia="ru-RU" w:bidi="ru-RU"/>
      <w:b/>
      <w:bCs/>
      <w:i/>
      <w:iCs/>
      <w:sz w:val="8"/>
      <w:szCs w:val="8"/>
      <w:w w:val="100"/>
      <w:spacing w:val="0"/>
      <w:color w:val="000000"/>
      <w:position w:val="0"/>
    </w:rPr>
  </w:style>
  <w:style w:type="character" w:customStyle="1" w:styleId="CharStyle39">
    <w:name w:val="Основной текст (8)_"/>
    <w:basedOn w:val="DefaultParagraphFont"/>
    <w:link w:val="Style38"/>
    <w:rPr>
      <w:b/>
      <w:bCs/>
      <w:i/>
      <w:iCs/>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20" w:line="264" w:lineRule="exact"/>
    </w:pPr>
    <w:rPr>
      <w:b/>
      <w:bCs/>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w w:val="60"/>
      <w:spacing w:val="12"/>
    </w:rPr>
  </w:style>
  <w:style w:type="paragraph" w:customStyle="1" w:styleId="Style9">
    <w:name w:val="Основной текст (3)"/>
    <w:basedOn w:val="Normal"/>
    <w:link w:val="CharStyle10"/>
    <w:pPr>
      <w:widowControl w:val="0"/>
      <w:shd w:val="clear" w:color="auto" w:fill="FFFFFF"/>
      <w:jc w:val="both"/>
      <w:spacing w:after="6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0" w:lineRule="exact"/>
    </w:pPr>
    <w:rPr>
      <w:b w:val="0"/>
      <w:bCs w:val="0"/>
      <w:i w:val="0"/>
      <w:iCs w:val="0"/>
      <w:u w:val="none"/>
      <w:strike w:val="0"/>
      <w:smallCaps w:val="0"/>
      <w:sz w:val="12"/>
      <w:szCs w:val="12"/>
      <w:rFonts w:ascii="Trebuchet MS" w:eastAsia="Trebuchet MS" w:hAnsi="Trebuchet MS" w:cs="Trebuchet MS"/>
      <w:spacing w:val="9"/>
    </w:rPr>
  </w:style>
  <w:style w:type="paragraph" w:customStyle="1" w:styleId="Style17">
    <w:name w:val="Заголовок №1"/>
    <w:basedOn w:val="Normal"/>
    <w:link w:val="CharStyle18"/>
    <w:pPr>
      <w:widowControl w:val="0"/>
      <w:shd w:val="clear" w:color="auto" w:fill="FFFFFF"/>
      <w:jc w:val="center"/>
      <w:outlineLvl w:val="0"/>
      <w:spacing w:before="780" w:after="300" w:line="370" w:lineRule="exact"/>
    </w:pPr>
    <w:rPr>
      <w:b/>
      <w:bCs/>
      <w:i w:val="0"/>
      <w:iCs w:val="0"/>
      <w:u w:val="none"/>
      <w:strike w:val="0"/>
      <w:smallCaps w:val="0"/>
      <w:sz w:val="28"/>
      <w:szCs w:val="28"/>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before="300" w:after="48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line="370" w:lineRule="exact"/>
      <w:ind w:firstLine="580"/>
    </w:pPr>
    <w:rPr>
      <w:b w:val="0"/>
      <w:bCs w:val="0"/>
      <w:i/>
      <w:iCs/>
      <w:u w:val="none"/>
      <w:strike w:val="0"/>
      <w:smallCaps w:val="0"/>
      <w:sz w:val="26"/>
      <w:szCs w:val="26"/>
      <w:rFonts w:ascii="Times New Roman" w:eastAsia="Times New Roman" w:hAnsi="Times New Roman" w:cs="Times New Roman"/>
    </w:rPr>
  </w:style>
  <w:style w:type="paragraph" w:customStyle="1" w:styleId="Style25">
    <w:name w:val="Колонтитул"/>
    <w:basedOn w:val="Normal"/>
    <w:link w:val="CharStyle26"/>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9">
    <w:name w:val="Заголовок №1 (2)"/>
    <w:basedOn w:val="Normal"/>
    <w:link w:val="CharStyle30"/>
    <w:pPr>
      <w:widowControl w:val="0"/>
      <w:shd w:val="clear" w:color="auto" w:fill="FFFFFF"/>
      <w:jc w:val="center"/>
      <w:outlineLvl w:val="0"/>
      <w:spacing w:after="300" w:line="370" w:lineRule="exact"/>
    </w:pPr>
    <w:rPr>
      <w:b/>
      <w:bCs/>
      <w:i w:val="0"/>
      <w:iCs w:val="0"/>
      <w:u w:val="none"/>
      <w:strike w:val="0"/>
      <w:smallCaps w:val="0"/>
      <w:sz w:val="28"/>
      <w:szCs w:val="28"/>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jc w:val="both"/>
      <w:spacing w:line="317" w:lineRule="exact"/>
      <w:ind w:firstLine="540"/>
    </w:pPr>
    <w:rPr>
      <w:b/>
      <w:bCs/>
      <w:i/>
      <w:iCs/>
      <w:u w:val="none"/>
      <w:strike w:val="0"/>
      <w:smallCaps w:val="0"/>
      <w:sz w:val="20"/>
      <w:szCs w:val="20"/>
      <w:rFonts w:ascii="Times New Roman" w:eastAsia="Times New Roman" w:hAnsi="Times New Roman" w:cs="Times New Roman"/>
    </w:rPr>
  </w:style>
  <w:style w:type="paragraph" w:customStyle="1" w:styleId="Style38">
    <w:name w:val="Основной текст (8)"/>
    <w:basedOn w:val="Normal"/>
    <w:link w:val="CharStyle39"/>
    <w:pPr>
      <w:widowControl w:val="0"/>
      <w:shd w:val="clear" w:color="auto" w:fill="FFFFFF"/>
      <w:jc w:val="both"/>
      <w:spacing w:line="322" w:lineRule="exact"/>
      <w:ind w:firstLine="580"/>
    </w:pPr>
    <w:rPr>
      <w:b/>
      <w:bCs/>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png"/><Relationship Id="rId10" Type="http://schemas.openxmlformats.org/officeDocument/2006/relationships/image" Target="media/image2.png" TargetMode="External"/></Relationships>
</file>