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w="806" w:h="970" w:wrap="around" w:vAnchor="text" w:hAnchor="margin" w:x="1648"/>
        <w:widowControl w:val="0"/>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0pt;height:49pt;">
            <v:imagedata r:id="rId5" r:href="rId6"/>
          </v:shape>
        </w:pict>
      </w:r>
    </w:p>
    <w:p>
      <w:pPr>
        <w:pStyle w:val="Style3"/>
        <w:framePr w:w="1354" w:h="930" w:wrap="around" w:vAnchor="text" w:hAnchor="margin" w:x="1379" w:y="1439"/>
        <w:widowControl w:val="0"/>
        <w:keepNext w:val="0"/>
        <w:keepLines w:val="0"/>
        <w:shd w:val="clear" w:color="auto" w:fill="auto"/>
        <w:bidi w:val="0"/>
        <w:spacing w:before="0" w:after="0"/>
        <w:ind w:left="0" w:right="0" w:firstLine="0"/>
      </w:pPr>
      <w:r>
        <w:rPr>
          <w:rStyle w:val="CharStyle5"/>
          <w:b/>
          <w:bCs/>
          <w:spacing w:val="0"/>
        </w:rPr>
        <w:t>УПРАВЛЕ</w:t>
      </w:r>
      <w:r>
        <w:rPr>
          <w:rStyle w:val="CharStyle6"/>
          <w:b/>
          <w:bCs/>
          <w:spacing w:val="0"/>
        </w:rPr>
        <w:t>НИЕ</w:t>
      </w:r>
      <w:r>
        <w:rPr>
          <w:rStyle w:val="CharStyle5"/>
          <w:b/>
          <w:bCs/>
          <w:spacing w:val="0"/>
        </w:rPr>
        <w:t xml:space="preserve"> по г. Москве</w:t>
      </w:r>
    </w:p>
    <w:p>
      <w:pPr>
        <w:pStyle w:val="Style7"/>
        <w:framePr w:w="3368" w:h="470" w:wrap="around" w:vAnchor="text" w:hAnchor="margin" w:x="364" w:y="960"/>
        <w:widowControl w:val="0"/>
        <w:keepNext w:val="0"/>
        <w:keepLines w:val="0"/>
        <w:shd w:val="clear" w:color="auto" w:fill="auto"/>
        <w:bidi w:val="0"/>
        <w:spacing w:before="0" w:after="0"/>
        <w:ind w:left="0" w:right="40" w:firstLine="0"/>
      </w:pPr>
      <w:r>
        <w:rPr>
          <w:rStyle w:val="CharStyle9"/>
          <w:b/>
          <w:bCs/>
          <w:spacing w:val="0"/>
        </w:rPr>
        <w:t>ФЕДЕРАЛЬНАЯ АНТИМОНОПОЛЬНАЯ СЛУЖБА</w:t>
      </w:r>
    </w:p>
    <w:p>
      <w:pPr>
        <w:widowControl w:val="0"/>
        <w:rPr>
          <w:sz w:val="2"/>
          <w:szCs w:val="2"/>
        </w:rPr>
      </w:pPr>
    </w:p>
    <w:p>
      <w:pPr>
        <w:pStyle w:val="Style10"/>
        <w:widowControl w:val="0"/>
        <w:keepNext w:val="0"/>
        <w:keepLines w:val="0"/>
        <w:shd w:val="clear" w:color="auto" w:fill="auto"/>
        <w:bidi w:val="0"/>
        <w:spacing w:before="0" w:after="257"/>
        <w:ind w:left="0" w:right="20" w:firstLine="0"/>
      </w:pPr>
      <w:r>
        <w:rPr>
          <w:rStyle w:val="CharStyle12"/>
        </w:rPr>
        <w:t xml:space="preserve">Мясницкий проезд, д.4, стр. 1 107078, г. Москва, тел. (495) 784-75-05, факс (495) 607-49-29 факс (495) 607-42-92, </w:t>
      </w:r>
      <w:r>
        <w:rPr>
          <w:rStyle w:val="CharStyle13"/>
        </w:rPr>
        <w:t>e-mail: to77@,fas.gov.ru</w:t>
      </w:r>
    </w:p>
    <w:p>
      <w:pPr>
        <w:pStyle w:val="Style17"/>
        <w:tabs>
          <w:tab w:leader="underscore" w:pos="3934" w:val="left"/>
        </w:tabs>
        <w:widowControl w:val="0"/>
        <w:keepNext w:val="0"/>
        <w:keepLines w:val="0"/>
        <w:shd w:val="clear" w:color="auto" w:fill="auto"/>
        <w:bidi w:val="0"/>
        <w:spacing w:before="0" w:after="190" w:line="200" w:lineRule="exact"/>
        <w:ind w:left="80" w:right="0" w:firstLine="0"/>
      </w:pPr>
      <w:r>
        <w:rPr>
          <w:rStyle w:val="CharStyle19"/>
        </w:rPr>
        <w:t xml:space="preserve">  №</w:t>
        <w:tab/>
      </w:r>
    </w:p>
    <w:p>
      <w:pPr>
        <w:pStyle w:val="Style10"/>
        <w:tabs>
          <w:tab w:leader="none" w:pos="1987" w:val="left"/>
        </w:tabs>
        <w:widowControl w:val="0"/>
        <w:keepNext w:val="0"/>
        <w:keepLines w:val="0"/>
        <w:shd w:val="clear" w:color="auto" w:fill="auto"/>
        <w:bidi w:val="0"/>
        <w:jc w:val="both"/>
        <w:spacing w:before="0" w:after="0" w:line="180" w:lineRule="exact"/>
        <w:ind w:left="0" w:right="0" w:firstLine="0"/>
      </w:pPr>
      <w:r>
        <w:rPr>
          <w:rStyle w:val="CharStyle12"/>
        </w:rPr>
        <w:t>На №</w:t>
        <w:tab/>
        <w:t>от</w:t>
      </w:r>
    </w:p>
    <w:p>
      <w:pPr>
        <w:pStyle w:val="Style20"/>
        <w:widowControl w:val="0"/>
        <w:keepNext w:val="0"/>
        <w:keepLines w:val="0"/>
        <w:shd w:val="clear" w:color="auto" w:fill="auto"/>
        <w:bidi w:val="0"/>
        <w:jc w:val="left"/>
        <w:spacing w:before="0" w:after="353"/>
        <w:ind w:left="0" w:right="0" w:firstLine="0"/>
      </w:pPr>
      <w:r>
        <w:rPr>
          <w:lang w:val="ru-RU" w:eastAsia="ru-RU" w:bidi="ru-RU"/>
          <w:w w:val="100"/>
          <w:spacing w:val="0"/>
          <w:color w:val="000000"/>
          <w:position w:val="0"/>
        </w:rPr>
        <w:t>ГКУ «Дирекция заказчика ЖКХиБ ЮЗАО»</w:t>
      </w:r>
    </w:p>
    <w:p>
      <w:pPr>
        <w:pStyle w:val="Style20"/>
        <w:widowControl w:val="0"/>
        <w:keepNext w:val="0"/>
        <w:keepLines w:val="0"/>
        <w:shd w:val="clear" w:color="auto" w:fill="auto"/>
        <w:bidi w:val="0"/>
        <w:jc w:val="both"/>
        <w:spacing w:before="0" w:after="307" w:line="260" w:lineRule="exact"/>
        <w:ind w:left="0" w:right="0" w:firstLine="0"/>
      </w:pPr>
      <w:r>
        <w:rPr>
          <w:lang w:val="ru-RU" w:eastAsia="ru-RU" w:bidi="ru-RU"/>
          <w:w w:val="100"/>
          <w:spacing w:val="0"/>
          <w:color w:val="000000"/>
          <w:position w:val="0"/>
        </w:rPr>
        <w:t>ул. Гарибальди, д. 14, г. Москва, 117393</w:t>
      </w:r>
    </w:p>
    <w:p>
      <w:pPr>
        <w:pStyle w:val="Style20"/>
        <w:widowControl w:val="0"/>
        <w:keepNext w:val="0"/>
        <w:keepLines w:val="0"/>
        <w:shd w:val="clear" w:color="auto" w:fill="auto"/>
        <w:bidi w:val="0"/>
        <w:jc w:val="left"/>
        <w:spacing w:before="0" w:after="300" w:line="317" w:lineRule="exact"/>
        <w:ind w:left="0" w:right="0" w:firstLine="0"/>
      </w:pPr>
      <w:r>
        <w:rPr>
          <w:lang w:val="ru-RU" w:eastAsia="ru-RU" w:bidi="ru-RU"/>
          <w:w w:val="100"/>
          <w:spacing w:val="0"/>
          <w:color w:val="000000"/>
          <w:position w:val="0"/>
        </w:rPr>
        <w:t>Управа района Черемушки города Москвы</w:t>
      </w:r>
    </w:p>
    <w:p>
      <w:pPr>
        <w:pStyle w:val="Style20"/>
        <w:widowControl w:val="0"/>
        <w:keepNext w:val="0"/>
        <w:keepLines w:val="0"/>
        <w:shd w:val="clear" w:color="auto" w:fill="auto"/>
        <w:bidi w:val="0"/>
        <w:jc w:val="left"/>
        <w:spacing w:before="0" w:after="346" w:line="317" w:lineRule="exact"/>
        <w:ind w:left="0" w:right="0" w:firstLine="0"/>
      </w:pPr>
      <w:r>
        <w:rPr>
          <w:lang w:val="ru-RU" w:eastAsia="ru-RU" w:bidi="ru-RU"/>
          <w:w w:val="100"/>
          <w:spacing w:val="0"/>
          <w:color w:val="000000"/>
          <w:position w:val="0"/>
        </w:rPr>
        <w:t>ул. Архитектора Власова, д. 25, корп. 2, г. Москва, 117335</w:t>
      </w:r>
    </w:p>
    <w:p>
      <w:pPr>
        <w:pStyle w:val="Style20"/>
        <w:widowControl w:val="0"/>
        <w:keepNext w:val="0"/>
        <w:keepLines w:val="0"/>
        <w:shd w:val="clear" w:color="auto" w:fill="auto"/>
        <w:bidi w:val="0"/>
        <w:jc w:val="left"/>
        <w:spacing w:before="0" w:after="312" w:line="260" w:lineRule="exact"/>
        <w:ind w:left="0" w:right="0" w:firstLine="0"/>
      </w:pPr>
      <w:r>
        <w:rPr>
          <w:lang w:val="ru-RU" w:eastAsia="ru-RU" w:bidi="ru-RU"/>
          <w:w w:val="100"/>
          <w:spacing w:val="0"/>
          <w:color w:val="000000"/>
          <w:position w:val="0"/>
        </w:rPr>
        <w:t>ООО «Скорпион»</w:t>
      </w:r>
    </w:p>
    <w:p>
      <w:pPr>
        <w:pStyle w:val="Style20"/>
        <w:widowControl w:val="0"/>
        <w:keepNext w:val="0"/>
        <w:keepLines w:val="0"/>
        <w:shd w:val="clear" w:color="auto" w:fill="auto"/>
        <w:bidi w:val="0"/>
        <w:jc w:val="both"/>
        <w:spacing w:before="0" w:after="0" w:line="317" w:lineRule="exact"/>
        <w:ind w:left="0" w:right="300" w:firstLine="0"/>
        <w:sectPr>
          <w:headerReference w:type="default" r:id="rId7"/>
          <w:footerReference w:type="default" r:id="rId8"/>
          <w:footerReference w:type="first" r:id="rId9"/>
          <w:titlePg/>
          <w:footnotePr>
            <w:pos w:val="pageBottom"/>
            <w:numFmt w:val="decimal"/>
            <w:numRestart w:val="continuous"/>
          </w:footnotePr>
          <w:type w:val="continuous"/>
          <w:pgSz w:w="11909" w:h="16838"/>
          <w:pgMar w:top="979" w:left="885" w:right="1034" w:bottom="341" w:header="0" w:footer="3" w:gutter="0"/>
          <w:rtlGutter w:val="0"/>
          <w:cols w:num="2" w:space="720" w:equalWidth="0">
            <w:col w:w="3941" w:space="1325"/>
            <w:col w:w="4723"/>
          </w:cols>
          <w:noEndnote/>
          <w:docGrid w:linePitch="360"/>
        </w:sectPr>
      </w:pPr>
      <w:r>
        <w:rPr>
          <w:lang w:val="ru-RU" w:eastAsia="ru-RU" w:bidi="ru-RU"/>
          <w:w w:val="100"/>
          <w:spacing w:val="0"/>
          <w:color w:val="000000"/>
          <w:position w:val="0"/>
        </w:rPr>
        <w:t>ул. Советская, д. 47, корп. 1, оф. 221, мкр. Железнодорожный, г. Балашиха, Московская обл., 143987</w:t>
      </w:r>
    </w:p>
    <w:p>
      <w:pPr>
        <w:widowControl w:val="0"/>
        <w:spacing w:before="64" w:after="64"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jc w:val="left"/>
        <w:spacing w:before="0" w:after="303" w:line="260" w:lineRule="exact"/>
        <w:ind w:left="5340" w:right="0" w:firstLine="0"/>
      </w:pPr>
      <w:r>
        <w:rPr>
          <w:lang w:val="ru-RU" w:eastAsia="ru-RU" w:bidi="ru-RU"/>
          <w:w w:val="100"/>
          <w:spacing w:val="0"/>
          <w:color w:val="000000"/>
          <w:position w:val="0"/>
        </w:rPr>
        <w:t>ООО «Центр-Строй»</w:t>
      </w:r>
    </w:p>
    <w:p>
      <w:pPr>
        <w:pStyle w:val="Style20"/>
        <w:widowControl w:val="0"/>
        <w:keepNext w:val="0"/>
        <w:keepLines w:val="0"/>
        <w:shd w:val="clear" w:color="auto" w:fill="auto"/>
        <w:bidi w:val="0"/>
        <w:jc w:val="left"/>
        <w:spacing w:before="0" w:after="300" w:line="322" w:lineRule="exact"/>
        <w:ind w:left="5340" w:right="300" w:firstLine="0"/>
      </w:pPr>
      <w:r>
        <w:rPr>
          <w:lang w:val="ru-RU" w:eastAsia="ru-RU" w:bidi="ru-RU"/>
          <w:w w:val="100"/>
          <w:spacing w:val="0"/>
          <w:color w:val="000000"/>
          <w:position w:val="0"/>
        </w:rPr>
        <w:t>Микр. Западный, промзона Текстильщик, стр. 2, оф. 211, г.Домодедово, Московская обл.,142002</w:t>
      </w:r>
    </w:p>
    <w:p>
      <w:pPr>
        <w:pStyle w:val="Style24"/>
        <w:tabs>
          <w:tab w:leader="none" w:pos="9002" w:val="center"/>
          <w:tab w:leader="none" w:pos="10125" w:val="right"/>
        </w:tabs>
        <w:widowControl w:val="0"/>
        <w:keepNext w:val="0"/>
        <w:keepLines w:val="0"/>
        <w:shd w:val="clear" w:color="auto" w:fill="auto"/>
        <w:bidi w:val="0"/>
        <w:jc w:val="left"/>
        <w:spacing w:before="0" w:after="0"/>
        <w:ind w:left="40" w:right="120" w:firstLine="4360"/>
      </w:pPr>
      <w:r>
        <w:rPr>
          <w:lang w:val="ru-RU" w:eastAsia="ru-RU" w:bidi="ru-RU"/>
          <w:w w:val="100"/>
          <w:spacing w:val="0"/>
          <w:color w:val="000000"/>
          <w:position w:val="0"/>
        </w:rPr>
        <w:t>РЕШЕНИЕ по делу №077/06/106-9906/2022 о нарушении законодательства о контрактной системе 28.06.2022</w:t>
        <w:tab/>
        <w:t>г.</w:t>
        <w:tab/>
        <w:t>Москва</w:t>
      </w:r>
    </w:p>
    <w:p>
      <w:pPr>
        <w:pStyle w:val="Style20"/>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20"/>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Председательствующего: главного государственного инспектора отдела обжалования государственных закупок С.И. Казарина,</w:t>
      </w:r>
    </w:p>
    <w:p>
      <w:pPr>
        <w:pStyle w:val="Style20"/>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Члены Комиссии:</w:t>
      </w:r>
    </w:p>
    <w:p>
      <w:pPr>
        <w:pStyle w:val="Style20"/>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20"/>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Специалиста-эксперта отдела обжалования государственных закупок М.О. Мацневой,</w:t>
      </w:r>
    </w:p>
    <w:p>
      <w:pPr>
        <w:pStyle w:val="Style20"/>
        <w:tabs>
          <w:tab w:leader="none" w:pos="616" w:val="left"/>
        </w:tabs>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20"/>
        <w:widowControl w:val="0"/>
        <w:keepNext w:val="0"/>
        <w:keepLines w:val="0"/>
        <w:shd w:val="clear" w:color="auto" w:fill="auto"/>
        <w:bidi w:val="0"/>
        <w:jc w:val="both"/>
        <w:spacing w:before="0" w:after="0" w:line="322" w:lineRule="exact"/>
        <w:ind w:left="4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22"/>
        <w:framePr w:w="1685" w:h="394" w:wrap="around" w:vAnchor="text" w:hAnchor="margin" w:x="385" w:y="697"/>
        <w:widowControl w:val="0"/>
        <w:keepNext w:val="0"/>
        <w:keepLines w:val="0"/>
        <w:shd w:val="clear" w:color="auto" w:fill="auto"/>
        <w:bidi w:val="0"/>
        <w:jc w:val="left"/>
        <w:spacing w:before="0" w:after="0" w:line="240" w:lineRule="auto"/>
        <w:ind w:left="0" w:right="0" w:firstLine="0"/>
      </w:pPr>
      <w:r>
        <w:rPr>
          <w:w w:val="100"/>
          <w:spacing w:val="0"/>
          <w:color w:val="000000"/>
          <w:position w:val="0"/>
        </w:rPr>
        <w:t>001092302904</w:t>
      </w:r>
    </w:p>
    <w:p>
      <w:pPr>
        <w:pStyle w:val="Style20"/>
        <w:widowControl w:val="0"/>
        <w:keepNext w:val="0"/>
        <w:keepLines w:val="0"/>
        <w:shd w:val="clear" w:color="auto" w:fill="auto"/>
        <w:bidi w:val="0"/>
        <w:jc w:val="both"/>
        <w:spacing w:before="0" w:after="356" w:line="322" w:lineRule="exact"/>
        <w:ind w:left="40" w:right="0" w:firstLine="680"/>
      </w:pPr>
      <w:r>
        <w:rPr>
          <w:lang w:val="ru-RU" w:eastAsia="ru-RU" w:bidi="ru-RU"/>
          <w:w w:val="100"/>
          <w:spacing w:val="0"/>
          <w:color w:val="000000"/>
          <w:position w:val="0"/>
        </w:rPr>
        <w:t>при участии представителей ГКУ «Дирекция заказчика ЖКХиБ ЮЗАО»,</w:t>
      </w:r>
    </w:p>
    <w:p>
      <w:pPr>
        <w:framePr w:h="461" w:wrap="notBeside" w:vAnchor="text" w:hAnchor="text" w:y="1"/>
        <w:widowControl w:val="0"/>
        <w:jc w:val="left"/>
        <w:rPr>
          <w:sz w:val="2"/>
          <w:szCs w:val="2"/>
        </w:rPr>
      </w:pPr>
      <w:r>
        <w:pict>
          <v:shape id="_x0000_s1030" type="#_x0000_t75" style="width:126pt;height:23pt;">
            <v:imagedata r:id="rId10" r:href="rId11"/>
          </v:shape>
        </w:pict>
      </w:r>
    </w:p>
    <w:p>
      <w:pPr>
        <w:widowControl w:val="0"/>
        <w:rPr>
          <w:sz w:val="2"/>
          <w:szCs w:val="2"/>
        </w:rPr>
      </w:pPr>
    </w:p>
    <w:p>
      <w:pPr>
        <w:widowControl w:val="0"/>
        <w:rPr>
          <w:sz w:val="2"/>
          <w:szCs w:val="2"/>
        </w:rPr>
        <w:sectPr>
          <w:type w:val="continuous"/>
          <w:pgSz w:w="11909" w:h="16838"/>
          <w:pgMar w:top="964" w:left="818" w:right="847" w:bottom="326" w:header="0" w:footer="3" w:gutter="0"/>
          <w:rtlGutter w:val="0"/>
          <w:cols w:space="720"/>
          <w:noEndnote/>
          <w:docGrid w:linePitch="360"/>
        </w:sectPr>
      </w:pP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отсутствие представителей ООО «Центр-Строй», ООО «Скорпион», Управы района Черемушки города Москвы, о времени и порядке заседания Комиссии Управления уведомленных надлежащим образом Московским УФАС России посредством функционала Единой информационной системы,</w:t>
      </w:r>
    </w:p>
    <w:p>
      <w:pPr>
        <w:pStyle w:val="Style20"/>
        <w:widowControl w:val="0"/>
        <w:keepNext w:val="0"/>
        <w:keepLines w:val="0"/>
        <w:shd w:val="clear" w:color="auto" w:fill="auto"/>
        <w:bidi w:val="0"/>
        <w:jc w:val="both"/>
        <w:spacing w:before="0" w:after="349" w:line="322" w:lineRule="exact"/>
        <w:ind w:left="20" w:right="20" w:firstLine="680"/>
      </w:pPr>
      <w:r>
        <w:rPr>
          <w:lang w:val="ru-RU" w:eastAsia="ru-RU" w:bidi="ru-RU"/>
          <w:w w:val="100"/>
          <w:spacing w:val="0"/>
          <w:color w:val="000000"/>
          <w:position w:val="0"/>
        </w:rPr>
        <w:t>рассмотрев жалобу ООО «Скорпион» (далее — Заявитель) на действия Управы района Черемушки города Москвы (далее — Заказчик) при проведении открытого конкурса в электронной форме на право заключения государственного контракта на выполнение ремонтных работ в квартире ребенка-сироты в 2022 году (МПГУ) летом 2022 года (Закупка №0373200032222000709) (далее —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30"/>
        <w:widowControl w:val="0"/>
        <w:keepNext/>
        <w:keepLines/>
        <w:shd w:val="clear" w:color="auto" w:fill="auto"/>
        <w:bidi w:val="0"/>
        <w:jc w:val="left"/>
        <w:spacing w:before="0" w:after="308" w:line="260" w:lineRule="exact"/>
        <w:ind w:left="4300" w:right="0" w:firstLine="0"/>
      </w:pPr>
      <w:bookmarkStart w:id="0" w:name="bookmark0"/>
      <w:r>
        <w:rPr>
          <w:lang w:val="ru-RU" w:eastAsia="ru-RU" w:bidi="ru-RU"/>
          <w:w w:val="100"/>
          <w:spacing w:val="0"/>
          <w:color w:val="000000"/>
          <w:position w:val="0"/>
        </w:rPr>
        <w:t>УСТАНОВЛЕНО:</w:t>
      </w:r>
      <w:bookmarkEnd w:id="0"/>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конкурса.</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По результатам рассмотрения жалобы, рассмотрев представленные документы и сведения, запрашиваемые письмом Московского УФАС России от 24.06.2022 №ЕИ/33743/22, Комиссия Управления установила следующее.</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составе жалобы Заявитель указывает, что конкурсной комиссией Заказчика нарушен порядок оценки заявки Заявителя по детализирующему показателю «общее количество исполненных участником закупки договоров» нестоимостного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ч.6 ст.106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п.3 и п.4 ч.1 ст.32 Закона о контрактной системе критериями оценки этих заявок, окончательных предложений.</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Таким образом, предмет жалобы о присвоении результатов оценки по критерию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не относится к компетенции Комиссии Управления, и обжаловать такие результаты оценки заявок возможно исключительно в судебном порядке.</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Вместе с тем Комиссией Управления проводится проверка действий конкурсной комиссии Заказчика в части применения установленного в конкурсной документации порядка оценки заявок на участие в конкурсе.</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п.3 ч.2 ст.42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ч.2 ст.48 Закона о контрактной системе заявка на участие в закупке состоит из трех частей, Заявка на участие в закупке состоит из трех частей. Первая часть должна содержать информацию и документы, предусмотренные подпунктами «а», «б» и «г» п.2 ч.1 ст.43 Закона о контрактной системе. Первая часть также может содержать информацию и документы, предусмотренные подпунктом «д» п.2 ч.1 ст.43 акона о контрактной системе, вторая часть должна содержать информацию и документы, предусмотренные пп.«м» - «р» п.1, пп «в» п.2, п.5 ч.1 ст.43 Закона о контрактной системе. Третья часть должна содержать информацию, предусмотренную п.3 или п.4 ч.1 ст.43 Закона о контрактной системе.</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Согласно пп.«р» п.1 ч.1 ст.43 Закона о контрактной системе </w:t>
      </w:r>
      <w:r>
        <w:rPr>
          <w:rStyle w:val="CharStyle32"/>
        </w:rPr>
        <w:t>заявка на участие в закупке может содержать документы, подтверждающие квалификацию участника закупки.</w:t>
      </w:r>
      <w:r>
        <w:rPr>
          <w:lang w:val="ru-RU" w:eastAsia="ru-RU" w:bidi="ru-RU"/>
          <w:w w:val="100"/>
          <w:spacing w:val="0"/>
          <w:color w:val="000000"/>
          <w:position w:val="0"/>
        </w:rPr>
        <w:t xml:space="preserve"> Отсутствие таких документов не является основанием для признания заявки не соответствующей требованиям Закона о контрактной системе.</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П.4 ч.2 ст.42 Закона о контрактной системе установлено, что извещение об осуществлении закупки, если иное не предусмотрено Законом о контрактной системе, должно содержать порядок рассмотрения и оценки заявок на участие в конкурсах в соответствии с Законом о контрактной системе.</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Ч.1 ст.32 Закона о контрактной системе установлено, что для оценки заявок участников закупки заказчик использует следующие критерии:</w:t>
      </w:r>
    </w:p>
    <w:p>
      <w:pPr>
        <w:pStyle w:val="Style20"/>
        <w:numPr>
          <w:ilvl w:val="0"/>
          <w:numId w:val="1"/>
        </w:numPr>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 xml:space="preserve"> цена контракта, сумма цен единиц товара, работы, услуги;</w:t>
      </w:r>
    </w:p>
    <w:p>
      <w:pPr>
        <w:pStyle w:val="Style20"/>
        <w:numPr>
          <w:ilvl w:val="0"/>
          <w:numId w:val="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расходы на эксплуатацию и ремонт товаров, использование результатов работ;</w:t>
      </w:r>
    </w:p>
    <w:p>
      <w:pPr>
        <w:pStyle w:val="Style20"/>
        <w:numPr>
          <w:ilvl w:val="0"/>
          <w:numId w:val="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качественные, функциональные и экологические характеристики объекта закупки;</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пп.11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ч.8 ст.32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п.1 и 2 ч.1 ст.32 Закона о контрактной системе.</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информационной картой открытого конкурса оценка заявок производится в соответствии с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Постановление №2604).</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Абз.1 п.1 Постановления Постановление №2604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абз.1 п.2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п.24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20"/>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а) наличие у участников закупки финансовых ресурсов;</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б) наличие у участников закупки на праве собственности или ином законном основании оборудования и других материальных ресурсов;</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наличие у участников закупки опыта поставки товара, выполнения работы, оказания услуги, связанного с предметом контракта;</w:t>
      </w:r>
    </w:p>
    <w:p>
      <w:pPr>
        <w:pStyle w:val="Style20"/>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г) наличие у участников закупки деловой репутации;</w:t>
      </w:r>
    </w:p>
    <w:p>
      <w:pPr>
        <w:pStyle w:val="Style20"/>
        <w:tabs>
          <w:tab w:leader="none" w:pos="1155"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д)</w:t>
        <w:tab/>
        <w:t>наличие у участников закупки специалистов и иных работников определенного уровня квалификации.</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пп. «а» п.28 Положения для оценки заявок по показателям оценки, в случае применения показателя оценки, предусмотренного пп.«в» п.24 Положения применяются один или несколько из следующих детализирующих показателей оценки:</w:t>
      </w:r>
    </w:p>
    <w:p>
      <w:pPr>
        <w:pStyle w:val="Style20"/>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общая цена исполненных участником закупки договоров;</w:t>
      </w:r>
    </w:p>
    <w:p>
      <w:pPr>
        <w:pStyle w:val="Style20"/>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общее количество исполненных участником закупки договоров;</w:t>
      </w:r>
    </w:p>
    <w:p>
      <w:pPr>
        <w:pStyle w:val="Style20"/>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наибольшая цена одного из исполненных участником закупки договоров.</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Комиссией Управления определено, что согласно извещению о проведении открытого конкурса в электронной форме от 06.06.2022 №0373200032222000709 Заказчиком установлен, в том числе следующий порядок оценки заявок участников закупки по детализирующему показателю «общее количество исполненных участником закупки договоров»:</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«1. Предмет договора (договоров), оцениваемого по детализирующему показателю, должен быть сопоставим с предметом контракта, заключаемого по результатам электронного конкурса: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w:t>
      </w:r>
    </w:p>
    <w:p>
      <w:pPr>
        <w:pStyle w:val="Style20"/>
        <w:numPr>
          <w:ilvl w:val="0"/>
          <w:numId w:val="3"/>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Перечень документов, подтверждающих наличие у участника закупки опыта выполнения работы, связанного с предметом контракта:</w:t>
      </w:r>
    </w:p>
    <w:p>
      <w:pPr>
        <w:pStyle w:val="Style20"/>
        <w:numPr>
          <w:ilvl w:val="0"/>
          <w:numId w:val="5"/>
        </w:numPr>
        <w:tabs>
          <w:tab w:leader="none" w:pos="10198" w:val="righ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Копии исполненных договоров (контрактов) и заключенными к ним дополнительными соглашениями, подтверждающими опыт выполнения работ. Такие документы направляются в форме электронных документов или в форме электронных образов бумажных документов.</w:t>
      </w:r>
    </w:p>
    <w:p>
      <w:pPr>
        <w:pStyle w:val="Style20"/>
        <w:numPr>
          <w:ilvl w:val="0"/>
          <w:numId w:val="5"/>
        </w:numPr>
        <w:tabs>
          <w:tab w:leader="none" w:pos="10198" w:val="righ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Копии Акта (актов) выполненных работ, содержащего (содержащих) и подтверждающего (подтверждающих) выполнение работ по договору (контракту) (последний акт, составленный при исполнении договора (контракта) должен быть подписан не ранее чем за 5 лет до даты окончания срока подачи заявок);</w:t>
      </w:r>
    </w:p>
    <w:p>
      <w:pPr>
        <w:pStyle w:val="Style20"/>
        <w:numPr>
          <w:ilvl w:val="0"/>
          <w:numId w:val="3"/>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44-ФЗ».</w:t>
      </w:r>
    </w:p>
    <w:p>
      <w:pPr>
        <w:pStyle w:val="Style20"/>
        <w:numPr>
          <w:ilvl w:val="0"/>
          <w:numId w:val="7"/>
        </w:numPr>
        <w:tabs>
          <w:tab w:leader="none" w:pos="1155"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составе жалобы Заявитель указывает, что конкурсной комиссией Заказчика нарушен порядок оценки заявки Заявителя по детализирующему показателю «общее количество исполненных участником закупки договоров», так как, по мнению Заявителя, конкурсной комиссией Заказчика не учтены контракты представленные участником закупки посредством внесения сведений о контракте в реестр, предусмотренный Постановление Правительства РФ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в то время как дополнительные требования были установлены Заказчиком в составе извещения.</w:t>
      </w:r>
    </w:p>
    <w:p>
      <w:pPr>
        <w:pStyle w:val="Style20"/>
        <w:widowControl w:val="0"/>
        <w:keepNext w:val="0"/>
        <w:keepLines w:val="0"/>
        <w:shd w:val="clear" w:color="auto" w:fill="auto"/>
        <w:bidi w:val="0"/>
        <w:jc w:val="both"/>
        <w:spacing w:before="0" w:after="0" w:line="322" w:lineRule="exact"/>
        <w:ind w:left="0" w:right="0" w:firstLine="680"/>
      </w:pPr>
      <w:r>
        <w:rPr>
          <w:lang w:val="ru-RU" w:eastAsia="ru-RU" w:bidi="ru-RU"/>
          <w:w w:val="100"/>
          <w:spacing w:val="0"/>
          <w:color w:val="000000"/>
          <w:position w:val="0"/>
        </w:rPr>
        <w:t>Вместе с этим Комиссией Управления установлено следующее.</w:t>
      </w:r>
    </w:p>
    <w:p>
      <w:pPr>
        <w:pStyle w:val="Style20"/>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Согласно п.12 ч.1 ст.42 Закона о контрактной системе извещение об осуществлении закупки, должно содержать требования, предъявляемые к участникам закупки в соответствии с п.1 ч.1 ст.31 Закона о контрактной системе, требования, предъявляемые к участникам закупки в соответствии с ч.2 и 2.1 (при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20"/>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опыта работы, связанного с предметом контракта, и деловой репутации.</w:t>
      </w:r>
    </w:p>
    <w:p>
      <w:pPr>
        <w:pStyle w:val="Style20"/>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Согласно ч.3 ст.31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ч.2 и 2.1 ст.31 Закона о контрактной системе, устанавливается Правительством Российской Федерации.</w:t>
      </w:r>
    </w:p>
    <w:p>
      <w:pPr>
        <w:pStyle w:val="Style20"/>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Согласно ч.4 ст.31 Закона о контрактной системе в случае установления Правительством Российской Федерации в соответствии с ч.2 ст.31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20"/>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Вместе с этим п.1 Постановления №2571 установлено, что к участникам закупки отдельных видов товаров, работ, услуг предъявляются дополнительные требования согласно приложению «Дополнительные требования к участникам закупки отдельных видов товаров, работ, услуг для обеспечения государственных и муниципальных нужд» (далее - Приложение).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pPr>
        <w:pStyle w:val="Style20"/>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Согласно пп.«а» п.3 Постановления №2571 положения Постановления №2571 применяются при проведении конкурентных способов определения поставщиков (подрядчиков, исполнителей), при этом позиции 14, 15 и 36 приложения применяются в случае, если при осуществлении закупки начальная (максимальная) цена контракта превышает 1 млн. рублей.</w:t>
      </w:r>
    </w:p>
    <w:p>
      <w:pPr>
        <w:pStyle w:val="Style20"/>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Согласно извещению о проведении открытого конкурса в электронной форме от 06.06.2022 №0373200032222000709 Заказчиком установлены дополнительные требования к участникам закупочной процедуры в соответствии с п.15 Приложения.</w:t>
      </w:r>
    </w:p>
    <w:p>
      <w:pPr>
        <w:pStyle w:val="Style20"/>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Согласно п.15 Приложения при проведении закупочной процедуры объектом которой являются работы по текущему ремонту зданий, сооружений к участникам закупочной процедуры предъявляются дополнительные требования о наличие у участника закупки следующего опыта выполнения работ:</w:t>
      </w:r>
    </w:p>
    <w:p>
      <w:pPr>
        <w:pStyle w:val="Style20"/>
        <w:numPr>
          <w:ilvl w:val="0"/>
          <w:numId w:val="9"/>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опыт исполнения договора, предусматривающего выполнение работ по текущему ремонту зданий, сооружений;</w:t>
      </w:r>
    </w:p>
    <w:p>
      <w:pPr>
        <w:pStyle w:val="Style20"/>
        <w:numPr>
          <w:ilvl w:val="0"/>
          <w:numId w:val="9"/>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опыт исполнения договора, предусматривающего выполнение работ по капитальному ремонту объекта капитального строительства.</w:t>
      </w:r>
    </w:p>
    <w:p>
      <w:pPr>
        <w:pStyle w:val="Style20"/>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Цена выполненных работ по договору, предусмотренному пунктом 1 или 2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20"/>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При этом соответствие участников закупки указанным требованиям подтверждается представлением в составе заявки:</w:t>
      </w:r>
    </w:p>
    <w:p>
      <w:pPr>
        <w:pStyle w:val="Style20"/>
        <w:numPr>
          <w:ilvl w:val="0"/>
          <w:numId w:val="11"/>
        </w:numPr>
        <w:widowControl w:val="0"/>
        <w:keepNext w:val="0"/>
        <w:keepLines w:val="0"/>
        <w:shd w:val="clear" w:color="auto" w:fill="auto"/>
        <w:bidi w:val="0"/>
        <w:jc w:val="both"/>
        <w:spacing w:before="0" w:after="0" w:line="322" w:lineRule="exact"/>
        <w:ind w:left="0" w:right="0" w:firstLine="680"/>
      </w:pPr>
      <w:r>
        <w:rPr>
          <w:lang w:val="ru-RU" w:eastAsia="ru-RU" w:bidi="ru-RU"/>
          <w:w w:val="100"/>
          <w:spacing w:val="0"/>
          <w:color w:val="000000"/>
          <w:position w:val="0"/>
        </w:rPr>
        <w:t xml:space="preserve"> исполненного договора;</w:t>
      </w:r>
    </w:p>
    <w:p>
      <w:pPr>
        <w:pStyle w:val="Style20"/>
        <w:numPr>
          <w:ilvl w:val="0"/>
          <w:numId w:val="11"/>
        </w:numPr>
        <w:widowControl w:val="0"/>
        <w:keepNext w:val="0"/>
        <w:keepLines w:val="0"/>
        <w:shd w:val="clear" w:color="auto" w:fill="auto"/>
        <w:bidi w:val="0"/>
        <w:jc w:val="both"/>
        <w:spacing w:before="0" w:after="0" w:line="322" w:lineRule="exact"/>
        <w:ind w:left="0" w:right="0" w:firstLine="680"/>
      </w:pPr>
      <w:r>
        <w:rPr>
          <w:lang w:val="ru-RU" w:eastAsia="ru-RU" w:bidi="ru-RU"/>
          <w:w w:val="100"/>
          <w:spacing w:val="0"/>
          <w:color w:val="000000"/>
          <w:position w:val="0"/>
        </w:rPr>
        <w:t xml:space="preserve"> акта выполненных работ, подтверждающий цену выполненных работ.</w:t>
      </w:r>
    </w:p>
    <w:p>
      <w:pPr>
        <w:pStyle w:val="Style20"/>
        <w:widowControl w:val="0"/>
        <w:keepNext w:val="0"/>
        <w:keepLines w:val="0"/>
        <w:shd w:val="clear" w:color="auto" w:fill="auto"/>
        <w:bidi w:val="0"/>
        <w:jc w:val="both"/>
        <w:spacing w:before="0" w:after="0" w:line="322" w:lineRule="exact"/>
        <w:ind w:left="0" w:right="0" w:firstLine="680"/>
      </w:pPr>
      <w:r>
        <w:rPr>
          <w:lang w:val="ru-RU" w:eastAsia="ru-RU" w:bidi="ru-RU"/>
          <w:w w:val="100"/>
          <w:spacing w:val="0"/>
          <w:color w:val="000000"/>
          <w:position w:val="0"/>
        </w:rPr>
        <w:t>Согласно пп.«н» п.1 ч.1 ст.43 Закона о контрактной системе заявка на участие</w:t>
      </w:r>
    </w:p>
    <w:p>
      <w:pPr>
        <w:pStyle w:val="Style20"/>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в закупке должна содержать документы, подтверждающие соответствие участника закупки требованиям, установленным п.1 ч.1 ст.31 Закона о контрактной системе, документы, подтверждающие соответствие участника закупки дополнительным требованиям, установленным в соответствии с ч.2 и 2.1 (при наличии таких требований) ст.31 Закона о контрактной системе, если иное не предусмотрено Закона о контрактной системе.</w:t>
      </w:r>
    </w:p>
    <w:p>
      <w:pPr>
        <w:pStyle w:val="Style20"/>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Вместе с этим п.4 Постановления №2571 установлено, что информацией и документами, подтверждающими соответствие участника закупки дополнительному требованию, установленному в соответствии с частью 2.1 статьи 31 Закона о контрактной системе, являются:</w:t>
      </w:r>
    </w:p>
    <w:p>
      <w:pPr>
        <w:pStyle w:val="Style20"/>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а) номер реестровой записи в предусмотренном Законом о контрактной системе реестре контрактов, заключенных заказчиками (в случае исполнения участником закупки контракта, информация и документы в отношении которого включены в установленном порядке в такой реестр и размещены на официальном сайте единой информационной системы в информационно-телекоммуникационной сети «Интернет»);</w:t>
      </w:r>
    </w:p>
    <w:p>
      <w:pPr>
        <w:pStyle w:val="Style20"/>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б) выписка из предусмотренного Законом о контрактной системе реестра контрактов, содержащего сведения, составляющие государственную тайну (в случае исполнения участником закупки контракта, информация о котором включена в установленном порядке в такой реестр);</w:t>
      </w:r>
    </w:p>
    <w:p>
      <w:pPr>
        <w:pStyle w:val="Style20"/>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 исполненный контракт, заключенный в соответствии с Законом о контрактной системе, или договор, заключенный в соответствии с Федеральным законом «О закупках товаров, работ, услуг отдельными видами юридических лиц», а также акт приемки поставленных товаров, выполненных работ, оказанных услуг, подтверждающий цену поставленных товаров, выполненных работ, оказанных услуг.</w:t>
      </w:r>
    </w:p>
    <w:p>
      <w:pPr>
        <w:pStyle w:val="Style20"/>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Согласно абз.7 пп.«б» п.3 Постановления №2571 если предусмотренные приложением в графе «Информация и документы, подтверждающие соответствие участников закупки дополнительным требованиям»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(далее - единая информационная система) с размещением на официальном сайте единой информационной системы в информационно</w:t>
        <w:softHyphen/>
        <w:t>телекоммуникационной сети «Интернет» таких документов, вместо направления таких документов участник закупки вправе направить в соответствии с Законом о контрактной системе номер реестровой записи из соответствующего реестра.</w:t>
      </w:r>
    </w:p>
    <w:p>
      <w:pPr>
        <w:pStyle w:val="Style20"/>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Согласно п.3 ч.6 ст.43 Закона о контрактной системе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ст.31 Закона о контрактной системе, и предусмотренные пп. «н» п.1 ч.1 ст.43 Закона о контрактной системе, не включаются участником закупки в заявку на участие в закупке. Такие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pPr>
        <w:pStyle w:val="Style20"/>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Комиссия Управления отмечает, что порядок представления документов, подтверждающих соответствия участника закупки дополнительным требованиям, установленным в соответствии со ст.31 Закона о контрактной системе и порядок представления документов, подтверждающих квалификацию участника закупки регулируется разными положениями Закона о контрактной системе и представляется обособлено друг от друга, так сведения о квалификации участника представляются во второй части заявки участника закупки, в то время как реестровый номер контракта, подтверждающего соответствие участника закупки требованиям Постановления №2571, направляется заказчику оператором электронной площадки из реестра участников закупок, аккредитованных на электронной площадке.</w:t>
      </w:r>
    </w:p>
    <w:p>
      <w:pPr>
        <w:pStyle w:val="Style20"/>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Таким образом, сведения представленные в подтверждение соответствия участника закупки требованиям Постановления №2571 никоим образом не могут быть учтены Заказчиком при оценки заявки заявителя в соответствии с установленным порядком оценки.</w:t>
      </w:r>
    </w:p>
    <w:p>
      <w:pPr>
        <w:pStyle w:val="Style20"/>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Вместе с этим Комиссией Управления установлено, что участником закупки в составе заявки на участие в конкурсе не представлено документов и сведений соответствующих установленному порядку оценки по детализирующему показателю «общее количество исполненных участником закупки договоров», ввиду чего конкурсной комиссией Заказчика заявке заявителя присвоено 0 баллов.</w:t>
      </w:r>
    </w:p>
    <w:p>
      <w:pPr>
        <w:pStyle w:val="Style20"/>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На основании вышеизложенного Комиссия Управления приходит к выводу, что довод Заявителя не нашел своего подтверждения и является необоснованным.</w:t>
      </w:r>
    </w:p>
    <w:p>
      <w:pPr>
        <w:pStyle w:val="Style20"/>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2. Также в составе жалобы Заявитель указывает, что конкурсной комиссией Заказчика нарушен порядок расчета баллов по стоимостному критерию «Цена контракта, сумма цен единиц товара, работы, услуги».</w:t>
      </w:r>
    </w:p>
    <w:p>
      <w:pPr>
        <w:pStyle w:val="Style20"/>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Комиссией Управления установлено, что согласно извещению о проведении открытого конкурса в электронной форме от 06.06.2022 №0373200032222000709 конкурсы проводятся в соответствии с ч.19 ст.48 Закона о контрактной системе.</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ч.19 ст.48 Закона о контрактной системе в случае, если в извещении об осуществлении закупки не установлены критерии, предусмотренные п.2 и 3 ч.1 ст.32 Закона о контрактной системе, а также в случае включения заказчиком в соответствии с п.8 ч.1 ст.33 Закона о контрактной системе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 электронный конкурс проводится в порядке, установленном Законом о контрактной системе, с учетом следующих особенностей:</w:t>
      </w:r>
    </w:p>
    <w:p>
      <w:pPr>
        <w:pStyle w:val="Style20"/>
        <w:numPr>
          <w:ilvl w:val="0"/>
          <w:numId w:val="13"/>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заявка состоит из второй и третьей частей. Вторая часть должна также содержать информацию, предусмотренную пп.«а» (за исключением случая включения заказчиком в соответствии с п.8 ч.1 ст.33 Закона о контрактной системе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 и пп.«б» п.2 ч.1 ст.43 Закона о контрактной системе. Положения частей 3 - 10 ст.48 Закона о контрактной системе;</w:t>
      </w:r>
    </w:p>
    <w:p>
      <w:pPr>
        <w:pStyle w:val="Style20"/>
        <w:numPr>
          <w:ilvl w:val="0"/>
          <w:numId w:val="13"/>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не позднее одного часа с момента окончания срока подачи заявок на участие в закупке оператор электронной площадки направляет заказчику вторые части поданных заявок на участие в закупке, а также информацию и документы, предусмотренные п.2 и 3 ч.6 ст.43 Закона о контрактной системе;</w:t>
      </w:r>
    </w:p>
    <w:p>
      <w:pPr>
        <w:pStyle w:val="Style20"/>
        <w:numPr>
          <w:ilvl w:val="0"/>
          <w:numId w:val="13"/>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действия, предусмотренные ч.11 ст.48 Закона о контрактной системе, осуществляются не позднее двух рабочих дней со дня, следующего за днем получения в соответствии с п.2 ч.19 ст.48 Закона о контрактной системе вторых частей заявок на участие в закупке, информации и документов,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pPr>
        <w:pStyle w:val="Style20"/>
        <w:numPr>
          <w:ilvl w:val="0"/>
          <w:numId w:val="13"/>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не позднее одного часа с момента получения протокола рассмотрения и оценки вторых частей заявок на участие в закупке в соответствии с п.2 ч.11 ст.48 Закона о контрактной системе оператор электронной площадки направляет заказчику третьи части заявок на участие в закупке, поданные участниками закупки, вторые части заявок которых признаны соответствующими извещению об осуществлении закупки, а также размещает протокол, предусмотренный ч.13 т.48 Закона о контрактной системе, в единой информационной системе и на электронной площадке.</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п.3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предложение участника закупки о цене контракта (за исключением случая, предусмотренного п.4 ч.1 ст.43 Закона о контрактной системе).</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П.9 Положения установлено, что значение количества баллов по критерию оценки «цена контракта, сумма цен единиц товара, работы, услуги», присваиваемое заявке, которая подлежит в соответствии с Федеральным законом оценке по указанному критерию оценки, (БЩ) определяется по формуле:</w:t>
      </w:r>
      <w:r>
        <w:br w:type="page"/>
      </w:r>
    </w:p>
    <w:p>
      <w:pPr>
        <w:framePr w:h="710" w:wrap="notBeside" w:hAnchor="margin" w:x="692" w:y="1"/>
        <w:widowControl w:val="0"/>
        <w:jc w:val="center"/>
        <w:rPr>
          <w:sz w:val="2"/>
          <w:szCs w:val="2"/>
        </w:rPr>
      </w:pPr>
      <w:r>
        <w:pict>
          <v:shape id="_x0000_s1031" type="#_x0000_t75" style="width:134pt;height:36pt;">
            <v:imagedata r:id="rId12" r:href="rId13"/>
          </v:shape>
        </w:pict>
      </w:r>
    </w:p>
    <w:p>
      <w:pPr>
        <w:pStyle w:val="Style20"/>
        <w:widowControl w:val="0"/>
        <w:keepNext w:val="0"/>
        <w:keepLines w:val="0"/>
        <w:shd w:val="clear" w:color="auto" w:fill="auto"/>
        <w:bidi w:val="0"/>
        <w:jc w:val="left"/>
        <w:spacing w:before="0" w:after="733" w:line="260" w:lineRule="exact"/>
        <w:ind w:left="20" w:right="0" w:firstLine="0"/>
      </w:pPr>
      <w:r>
        <w:rPr>
          <w:lang w:val="ru-RU" w:eastAsia="ru-RU" w:bidi="ru-RU"/>
          <w:w w:val="100"/>
          <w:spacing w:val="0"/>
          <w:color w:val="000000"/>
          <w:position w:val="0"/>
        </w:rPr>
        <w:t>где:</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Щ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частью 24 статьи 22 Федерального закона, в том числе при проведении в этом случае совместного конкурса), заявка (часть заявки) которого подлежит в соответствии с Федеральным законом оценке по критерию оценки "цена контракта, сумма цен единиц товара, работы, услуги" (далее - ценовое предложение);</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Цл - наилучшее ценовое предложение из числа предложенных в соответствии с Федеральным законом участниками закупки, заявки (части заявки) которых подлежат оценке по критерию оценки "цена контракта, сумма цен единиц товара, работы, услуги».</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П.10 Положения установлено, что если при проведении процедуры подачи предложений о цене контракта либо о сумме цен единиц товара, работы, услуги (в случае, предусмотренном ч.24 ст.22 Закона о контрактной системе) в соответствии с Законом о контрактной системе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(БЩ) определяется в следующем порядке:</w:t>
      </w:r>
    </w:p>
    <w:p>
      <w:pPr>
        <w:pStyle w:val="Style20"/>
        <w:tabs>
          <w:tab w:leader="none" w:pos="1043" w:val="left"/>
        </w:tabs>
        <w:widowControl w:val="0"/>
        <w:keepNext w:val="0"/>
        <w:keepLines w:val="0"/>
        <w:shd w:val="clear" w:color="auto" w:fill="auto"/>
        <w:bidi w:val="0"/>
        <w:jc w:val="both"/>
        <w:spacing w:before="0" w:after="169" w:line="322" w:lineRule="exact"/>
        <w:ind w:left="20" w:right="20" w:firstLine="680"/>
      </w:pPr>
      <w:r>
        <w:rPr>
          <w:lang w:val="ru-RU" w:eastAsia="ru-RU" w:bidi="ru-RU"/>
          <w:w w:val="100"/>
          <w:spacing w:val="0"/>
          <w:color w:val="000000"/>
          <w:position w:val="0"/>
        </w:rPr>
        <w:t>а)</w:t>
        <w:tab/>
        <w:t>для подлежащей в соответствии с Законом о контрактной системе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(БЩ) определяется по формуле:</w:t>
      </w:r>
    </w:p>
    <w:p>
      <w:pPr>
        <w:pStyle w:val="Style24"/>
        <w:widowControl w:val="0"/>
        <w:keepNext w:val="0"/>
        <w:keepLines w:val="0"/>
        <w:shd w:val="clear" w:color="auto" w:fill="auto"/>
        <w:bidi w:val="0"/>
        <w:jc w:val="left"/>
        <w:spacing w:before="0" w:after="0" w:line="260" w:lineRule="exact"/>
        <w:ind w:left="20" w:right="0" w:firstLine="0"/>
      </w:pPr>
      <w:r>
        <w:rPr>
          <w:rStyle w:val="CharStyle33"/>
          <w:b/>
          <w:bCs/>
        </w:rPr>
        <w:t>'Ц„+Ц</w:t>
      </w:r>
      <w:r>
        <w:rPr>
          <w:rStyle w:val="CharStyle33"/>
          <w:vertAlign w:val="subscript"/>
          <w:b/>
          <w:bCs/>
        </w:rPr>
        <w:t>я</w:t>
      </w:r>
      <w:r>
        <w:rPr>
          <w:rStyle w:val="CharStyle33"/>
          <w:b/>
          <w:bCs/>
        </w:rPr>
        <w:t>-Ц|'</w:t>
      </w:r>
    </w:p>
    <w:p>
      <w:pPr>
        <w:pStyle w:val="Style26"/>
        <w:framePr w:h="208" w:vSpace="326" w:wrap="around" w:vAnchor="text" w:hAnchor="margin" w:x="6516" w:y="-1"/>
        <w:widowControl w:val="0"/>
        <w:keepNext w:val="0"/>
        <w:keepLines w:val="0"/>
        <w:shd w:val="clear" w:color="auto" w:fill="auto"/>
        <w:bidi w:val="0"/>
        <w:jc w:val="left"/>
        <w:spacing w:before="0" w:after="0" w:line="200" w:lineRule="exact"/>
        <w:ind w:left="0" w:right="0" w:firstLine="0"/>
      </w:pPr>
      <w:r>
        <w:rPr>
          <w:rStyle w:val="CharStyle28"/>
          <w:b/>
          <w:bCs/>
        </w:rPr>
        <w:t>&lt;</w:t>
      </w:r>
      <w:r>
        <w:rPr>
          <w:rStyle w:val="CharStyle29"/>
          <w:b/>
          <w:bCs/>
          <w:spacing w:val="-20"/>
        </w:rPr>
        <w:t>100</w:t>
      </w:r>
      <w:r>
        <w:rPr>
          <w:rStyle w:val="CharStyle28"/>
          <w:b/>
          <w:bCs/>
        </w:rPr>
        <w:t>,</w:t>
      </w:r>
    </w:p>
    <w:p>
      <w:pPr>
        <w:pStyle w:val="Style34"/>
        <w:widowControl w:val="0"/>
        <w:keepNext w:val="0"/>
        <w:keepLines w:val="0"/>
        <w:shd w:val="clear" w:color="auto" w:fill="auto"/>
        <w:bidi w:val="0"/>
        <w:jc w:val="left"/>
        <w:spacing w:before="0" w:after="0" w:line="230" w:lineRule="exact"/>
        <w:ind w:left="20" w:right="0" w:firstLine="0"/>
      </w:pPr>
      <w:r>
        <w:rPr>
          <w:rStyle w:val="CharStyle36"/>
        </w:rPr>
        <w:t>БЦ, = 100-</w:t>
      </w:r>
    </w:p>
    <w:p>
      <w:pPr>
        <w:pStyle w:val="Style24"/>
        <w:widowControl w:val="0"/>
        <w:keepNext w:val="0"/>
        <w:keepLines w:val="0"/>
        <w:shd w:val="clear" w:color="auto" w:fill="auto"/>
        <w:bidi w:val="0"/>
        <w:jc w:val="left"/>
        <w:spacing w:before="0" w:after="0" w:line="260" w:lineRule="exact"/>
        <w:ind w:left="20" w:right="0" w:firstLine="0"/>
      </w:pPr>
      <w:r>
        <w:rPr>
          <w:rStyle w:val="CharStyle33"/>
          <w:b/>
          <w:bCs/>
        </w:rPr>
        <w:t>Ц + Ц</w:t>
      </w:r>
    </w:p>
    <w:p>
      <w:pPr>
        <w:pStyle w:val="Style37"/>
        <w:tabs>
          <w:tab w:leader="none" w:pos="995" w:val="center"/>
          <w:tab w:leader="none" w:pos="884" w:val="center"/>
        </w:tabs>
        <w:widowControl w:val="0"/>
        <w:keepNext w:val="0"/>
        <w:keepLines w:val="0"/>
        <w:shd w:val="clear" w:color="auto" w:fill="auto"/>
        <w:bidi w:val="0"/>
        <w:spacing w:before="0" w:after="0"/>
        <w:ind w:left="20" w:right="0" w:firstLine="0"/>
      </w:pPr>
      <w:r>
        <w:rPr>
          <w:rStyle w:val="CharStyle39"/>
        </w:rPr>
        <w:t xml:space="preserve">“ </w:t>
      </w:r>
      <w:r>
        <w:rPr>
          <w:rStyle w:val="CharStyle40"/>
        </w:rPr>
        <w:t>НЛЧ</w:t>
        <w:tab/>
      </w:r>
      <w:r>
        <w:rPr>
          <w:rStyle w:val="CharStyle39"/>
        </w:rPr>
        <w:t>I</w:t>
        <w:tab/>
      </w:r>
      <w:r>
        <w:rPr>
          <w:rStyle w:val="CharStyle41"/>
        </w:rPr>
        <w:t>л</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где Цнач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ч.24 ст.22 Закона о контрактной системе, в том числе при проведении в таком случае совместного конкурса);</w:t>
      </w:r>
    </w:p>
    <w:p>
      <w:pPr>
        <w:pStyle w:val="Style20"/>
        <w:tabs>
          <w:tab w:leader="none" w:pos="1062"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б)</w:t>
        <w:tab/>
        <w:t>для подлежащей в соответствии с Законом о контрактной системе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(БЩ) определяется по формуле:</w:t>
      </w:r>
      <w:r>
        <w:br w:type="page"/>
      </w:r>
    </w:p>
    <w:p>
      <w:pPr>
        <w:framePr w:h="710" w:hSpace="3264" w:wrap="notBeside" w:vAnchor="text" w:hAnchor="text" w:x="3956" w:y="1"/>
        <w:widowControl w:val="0"/>
        <w:jc w:val="center"/>
        <w:rPr>
          <w:sz w:val="2"/>
          <w:szCs w:val="2"/>
        </w:rPr>
      </w:pPr>
      <w:r>
        <w:pict>
          <v:shape id="_x0000_s1032" type="#_x0000_t75" style="width:149pt;height:36pt;">
            <v:imagedata r:id="rId14" r:href="rId15"/>
          </v:shape>
        </w:pict>
      </w:r>
    </w:p>
    <w:p>
      <w:pPr>
        <w:widowControl w:val="0"/>
        <w:rPr>
          <w:sz w:val="2"/>
          <w:szCs w:val="2"/>
        </w:rPr>
      </w:pPr>
    </w:p>
    <w:p>
      <w:pPr>
        <w:pStyle w:val="Style20"/>
        <w:widowControl w:val="0"/>
        <w:keepNext w:val="0"/>
        <w:keepLines w:val="0"/>
        <w:shd w:val="clear" w:color="auto" w:fill="auto"/>
        <w:bidi w:val="0"/>
        <w:jc w:val="both"/>
        <w:spacing w:before="300" w:after="0" w:line="322" w:lineRule="exact"/>
        <w:ind w:left="20" w:right="20" w:firstLine="680"/>
      </w:pPr>
      <w:r>
        <w:rPr>
          <w:lang w:val="ru-RU" w:eastAsia="ru-RU" w:bidi="ru-RU"/>
          <w:w w:val="100"/>
          <w:spacing w:val="0"/>
          <w:color w:val="000000"/>
          <w:position w:val="0"/>
        </w:rPr>
        <w:t>П.11 Положения установлено, что оценка заявок по критерию оценки «цена контракта, сумма цен единиц товара, работы, услуги» осуществляется в соответствии со следующими требованиями:</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а) заявкам, содержащим наилучшее ценовое предложение, а также предложение, равное такому наилучшему ценовому предложению, присваивается 100 баллов;</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б) значение Цл при применении формулы, предусмотренной пп.«а» п.10 Положения, и значения Цл и Щ при применении формулы, предусмотренной пп.«б» п.10 настоящего Положения, указываются без знака «минус»;</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применение показателей оценки по критерию оценки «цена контракта, сумма цен единиц товара, работы, услуги» не допускается.</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Комиссией Управления определено, что согласно извещению о проведении открытого конкурса в электронной форме Заказчиком установлен, в том числе следующий порядок оценки заявок участников закупки по критерию «Цена контракта, сумма цен единиц товара, работы, услуги»:</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«Оценка заявок осуществляется по формулам, предусмотренным пунктами 9 или 10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 декабря 2021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lang w:val="en-US" w:eastAsia="en-US" w:bidi="en-US"/>
          <w:w w:val="100"/>
          <w:spacing w:val="0"/>
          <w:color w:val="000000"/>
          <w:position w:val="0"/>
        </w:rPr>
        <w:t xml:space="preserve">N </w:t>
      </w:r>
      <w:r>
        <w:rPr>
          <w:lang w:val="ru-RU" w:eastAsia="ru-RU" w:bidi="ru-RU"/>
          <w:w w:val="100"/>
          <w:spacing w:val="0"/>
          <w:color w:val="000000"/>
          <w:position w:val="0"/>
        </w:rPr>
        <w:t>2369 и признании утратившими силу некоторых актов и отдельных положений некоторых актов Правительства Российской Федерации» (далее — Положение)».</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Комиссией Управления установлено, что, согласно протоколу подведения итогов определения поставщика (подрядчика, исполнителя) от 22.06.2022 №ИЭОК1, оценка предложений участников закупки определена конкурсной комиссией Заказчика следующим образом:</w:t>
      </w:r>
    </w:p>
    <w:p>
      <w:pPr>
        <w:pStyle w:val="Style20"/>
        <w:numPr>
          <w:ilvl w:val="0"/>
          <w:numId w:val="15"/>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Заявке с идентификационным номером 2, с предложением о цене контракта 1929588.03, присвоено 57,79 баллов;</w:t>
      </w:r>
    </w:p>
    <w:p>
      <w:pPr>
        <w:pStyle w:val="Style20"/>
        <w:numPr>
          <w:ilvl w:val="0"/>
          <w:numId w:val="15"/>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Заявке с идентификационным номером 3, с предложением о цене 1861023.99 руб., присвоено 60 баллов.</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Комиссией Управления проведена проверка расчета баллов по критерию «Цена контракта, сумма цен единиц товара, работы, услуги», в соответствии с установленным порядком оценки, при этом нарушения в действиях конкурсной комиссии Заказчика выявлены не были.</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20"/>
        <w:widowControl w:val="0"/>
        <w:keepNext w:val="0"/>
        <w:keepLines w:val="0"/>
        <w:shd w:val="clear" w:color="auto" w:fill="auto"/>
        <w:bidi w:val="0"/>
        <w:jc w:val="both"/>
        <w:spacing w:before="0" w:after="0" w:line="322" w:lineRule="exact"/>
        <w:ind w:left="20" w:right="20" w:firstLine="680"/>
        <w:sectPr>
          <w:pgSz w:w="11909" w:h="16838"/>
          <w:pgMar w:top="1182" w:left="857" w:right="828" w:bottom="1254" w:header="0" w:footer="3" w:gutter="0"/>
          <w:rtlGutter w:val="0"/>
          <w:cols w:space="720"/>
          <w:noEndnote/>
          <w:docGrid w:linePitch="360"/>
        </w:sectPr>
      </w:pPr>
      <w:r>
        <w:rPr>
          <w:lang w:val="ru-RU" w:eastAsia="ru-RU" w:bidi="ru-RU"/>
          <w:w w:val="100"/>
          <w:spacing w:val="0"/>
          <w:color w:val="000000"/>
          <w:position w:val="0"/>
        </w:rPr>
        <w:t>Однако на заседание Комиссии Управления представитель Заявителя не явился, при этом в составе жалобы Заявителем не представлено документов и</w:t>
      </w:r>
    </w:p>
    <w:p>
      <w:pPr>
        <w:pStyle w:val="Style20"/>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сведений свидетельствующих о нарушении конкурсной комиссии Заказчика закона о контрактной системе при расчете баллов по критерию «Цена контракта, сумма цен единиц товара, работы, услуги», ввиду чего у Комиссии Управления отсутствуют правовые основания считать конкурсную комиссию Заказчика нарушившей Закон о контрактной системе.</w:t>
      </w:r>
    </w:p>
    <w:p>
      <w:pPr>
        <w:pStyle w:val="Style20"/>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На основании вышеизложенного Комиссия Управления приходит к выводу, что довод Заявителя не нашел своего подтверждения и является необоснованным.</w:t>
      </w:r>
    </w:p>
    <w:p>
      <w:pPr>
        <w:pStyle w:val="Style20"/>
        <w:widowControl w:val="0"/>
        <w:keepNext w:val="0"/>
        <w:keepLines w:val="0"/>
        <w:shd w:val="clear" w:color="auto" w:fill="auto"/>
        <w:bidi w:val="0"/>
        <w:jc w:val="both"/>
        <w:spacing w:before="0" w:after="349" w:line="322" w:lineRule="exact"/>
        <w:ind w:left="0" w:right="20" w:firstLine="68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24"/>
        <w:widowControl w:val="0"/>
        <w:keepNext w:val="0"/>
        <w:keepLines w:val="0"/>
        <w:shd w:val="clear" w:color="auto" w:fill="auto"/>
        <w:bidi w:val="0"/>
        <w:jc w:val="left"/>
        <w:spacing w:before="0" w:after="272" w:line="260" w:lineRule="exact"/>
        <w:ind w:left="4760" w:right="0" w:firstLine="0"/>
      </w:pPr>
      <w:r>
        <w:rPr>
          <w:lang w:val="ru-RU" w:eastAsia="ru-RU" w:bidi="ru-RU"/>
          <w:w w:val="100"/>
          <w:spacing w:val="0"/>
          <w:color w:val="000000"/>
          <w:position w:val="0"/>
        </w:rPr>
        <w:t>РЕШИЛА:</w:t>
      </w:r>
    </w:p>
    <w:p>
      <w:pPr>
        <w:pStyle w:val="Style20"/>
        <w:numPr>
          <w:ilvl w:val="0"/>
          <w:numId w:val="17"/>
        </w:numPr>
        <w:widowControl w:val="0"/>
        <w:keepNext w:val="0"/>
        <w:keepLines w:val="0"/>
        <w:shd w:val="clear" w:color="auto" w:fill="auto"/>
        <w:bidi w:val="0"/>
        <w:jc w:val="both"/>
        <w:spacing w:before="0" w:after="0" w:line="360" w:lineRule="exact"/>
        <w:ind w:left="0" w:right="20" w:firstLine="680"/>
      </w:pPr>
      <w:r>
        <w:rPr>
          <w:lang w:val="ru-RU" w:eastAsia="ru-RU" w:bidi="ru-RU"/>
          <w:w w:val="100"/>
          <w:spacing w:val="0"/>
          <w:color w:val="000000"/>
          <w:position w:val="0"/>
        </w:rPr>
        <w:t xml:space="preserve"> Признать жалобу ООО «Скорпион» на действия конкурсной комиссии Управы района Черемушки города Москвы необоснованной.</w:t>
      </w:r>
    </w:p>
    <w:p>
      <w:pPr>
        <w:pStyle w:val="Style20"/>
        <w:numPr>
          <w:ilvl w:val="0"/>
          <w:numId w:val="17"/>
        </w:numPr>
        <w:widowControl w:val="0"/>
        <w:keepNext w:val="0"/>
        <w:keepLines w:val="0"/>
        <w:shd w:val="clear" w:color="auto" w:fill="auto"/>
        <w:bidi w:val="0"/>
        <w:jc w:val="both"/>
        <w:spacing w:before="0" w:after="300" w:line="350" w:lineRule="exact"/>
        <w:ind w:left="0" w:right="20" w:firstLine="680"/>
      </w:pPr>
      <w:r>
        <w:rPr>
          <w:lang w:val="ru-RU" w:eastAsia="ru-RU" w:bidi="ru-RU"/>
          <w:w w:val="100"/>
          <w:spacing w:val="0"/>
          <w:color w:val="000000"/>
          <w:position w:val="0"/>
        </w:rPr>
        <w:t xml:space="preserve"> Снять ограничения на определение поставщика (подрядчика, исполнителя) путем проведения аукциона, наложенные письмом Московского УФАС России (исх. №ЕИ/33743/22 от 24.06.2022).</w:t>
      </w:r>
    </w:p>
    <w:p>
      <w:pPr>
        <w:pStyle w:val="Style20"/>
        <w:widowControl w:val="0"/>
        <w:keepNext w:val="0"/>
        <w:keepLines w:val="0"/>
        <w:shd w:val="clear" w:color="auto" w:fill="auto"/>
        <w:bidi w:val="0"/>
        <w:jc w:val="both"/>
        <w:spacing w:before="0" w:after="0" w:line="350" w:lineRule="exact"/>
        <w:ind w:left="0" w:right="20" w:firstLine="68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w:t>
      </w:r>
    </w:p>
    <w:p>
      <w:pPr>
        <w:pStyle w:val="Style20"/>
        <w:framePr w:h="250" w:vSpace="326" w:wrap="around" w:vAnchor="text" w:hAnchor="margin" w:x="8409" w:y="678"/>
        <w:widowControl w:val="0"/>
        <w:keepNext w:val="0"/>
        <w:keepLines w:val="0"/>
        <w:shd w:val="clear" w:color="auto" w:fill="auto"/>
        <w:bidi w:val="0"/>
        <w:jc w:val="left"/>
        <w:spacing w:before="0" w:after="0" w:line="240" w:lineRule="exact"/>
        <w:ind w:left="100" w:right="0" w:firstLine="0"/>
      </w:pPr>
      <w:r>
        <w:rPr>
          <w:rStyle w:val="CharStyle42"/>
          <w:spacing w:val="0"/>
        </w:rPr>
        <w:t>С.И. Казарин</w:t>
      </w:r>
    </w:p>
    <w:p>
      <w:pPr>
        <w:pStyle w:val="Style20"/>
        <w:widowControl w:val="0"/>
        <w:keepNext w:val="0"/>
        <w:keepLines w:val="0"/>
        <w:shd w:val="clear" w:color="auto" w:fill="auto"/>
        <w:bidi w:val="0"/>
        <w:jc w:val="both"/>
        <w:spacing w:before="0" w:after="352" w:line="260" w:lineRule="exact"/>
        <w:ind w:left="0" w:right="0" w:firstLine="0"/>
      </w:pPr>
      <w:r>
        <w:rPr>
          <w:lang w:val="ru-RU" w:eastAsia="ru-RU" w:bidi="ru-RU"/>
          <w:w w:val="100"/>
          <w:spacing w:val="0"/>
          <w:color w:val="000000"/>
          <w:position w:val="0"/>
        </w:rPr>
        <w:t>гл. 24 АПК РФ.</w:t>
      </w:r>
    </w:p>
    <w:p>
      <w:pPr>
        <w:pStyle w:val="Style20"/>
        <w:widowControl w:val="0"/>
        <w:keepNext w:val="0"/>
        <w:keepLines w:val="0"/>
        <w:shd w:val="clear" w:color="auto" w:fill="auto"/>
        <w:bidi w:val="0"/>
        <w:jc w:val="both"/>
        <w:spacing w:before="0" w:after="237" w:line="260" w:lineRule="exact"/>
        <w:ind w:left="0" w:right="0" w:firstLine="0"/>
      </w:pPr>
      <w:r>
        <w:rPr>
          <w:lang w:val="ru-RU" w:eastAsia="ru-RU" w:bidi="ru-RU"/>
          <w:w w:val="100"/>
          <w:spacing w:val="0"/>
          <w:color w:val="000000"/>
          <w:position w:val="0"/>
        </w:rPr>
        <w:t>Председательствующий</w:t>
      </w:r>
    </w:p>
    <w:p>
      <w:pPr>
        <w:pStyle w:val="Style20"/>
        <w:framePr w:h="240" w:wrap="around" w:vAnchor="text" w:hAnchor="margin" w:x="6" w:y="1"/>
        <w:widowControl w:val="0"/>
        <w:keepNext w:val="0"/>
        <w:keepLines w:val="0"/>
        <w:shd w:val="clear" w:color="auto" w:fill="auto"/>
        <w:bidi w:val="0"/>
        <w:jc w:val="left"/>
        <w:spacing w:before="0" w:after="0" w:line="240" w:lineRule="exact"/>
        <w:ind w:left="0" w:right="0" w:firstLine="0"/>
      </w:pPr>
      <w:r>
        <w:rPr>
          <w:rStyle w:val="CharStyle42"/>
          <w:spacing w:val="0"/>
        </w:rPr>
        <w:t>Члены Комиссии</w:t>
      </w:r>
    </w:p>
    <w:p>
      <w:pPr>
        <w:pStyle w:val="Style20"/>
        <w:framePr w:h="245" w:wrap="notBeside" w:vAnchor="text" w:hAnchor="margin" w:x="8371" w:y="644"/>
        <w:widowControl w:val="0"/>
        <w:keepNext w:val="0"/>
        <w:keepLines w:val="0"/>
        <w:shd w:val="clear" w:color="auto" w:fill="auto"/>
        <w:bidi w:val="0"/>
        <w:jc w:val="left"/>
        <w:spacing w:before="0" w:after="0" w:line="240" w:lineRule="exact"/>
        <w:ind w:left="100" w:right="0" w:firstLine="0"/>
      </w:pPr>
      <w:r>
        <w:rPr>
          <w:rStyle w:val="CharStyle42"/>
          <w:spacing w:val="0"/>
        </w:rPr>
        <w:t>М.О. Мацнева</w:t>
      </w:r>
    </w:p>
    <w:p>
      <w:pPr>
        <w:pStyle w:val="Style20"/>
        <w:widowControl w:val="0"/>
        <w:keepNext w:val="0"/>
        <w:keepLines w:val="0"/>
        <w:shd w:val="clear" w:color="auto" w:fill="auto"/>
        <w:bidi w:val="0"/>
        <w:jc w:val="right"/>
        <w:spacing w:before="0" w:after="3949" w:line="260" w:lineRule="exact"/>
        <w:ind w:left="0" w:right="20" w:firstLine="0"/>
      </w:pPr>
      <w:r>
        <w:rPr>
          <w:lang w:val="ru-RU" w:eastAsia="ru-RU" w:bidi="ru-RU"/>
          <w:w w:val="100"/>
          <w:spacing w:val="0"/>
          <w:color w:val="000000"/>
          <w:position w:val="0"/>
        </w:rPr>
        <w:t>А.А. Матюшенко</w:t>
      </w:r>
    </w:p>
    <w:p>
      <w:pPr>
        <w:pStyle w:val="Style10"/>
        <w:widowControl w:val="0"/>
        <w:keepNext w:val="0"/>
        <w:keepLines w:val="0"/>
        <w:shd w:val="clear" w:color="auto" w:fill="auto"/>
        <w:bidi w:val="0"/>
        <w:jc w:val="left"/>
        <w:spacing w:before="0" w:after="0" w:line="1022" w:lineRule="exact"/>
        <w:ind w:left="0" w:right="6060" w:firstLine="680"/>
      </w:pPr>
      <w:r>
        <w:rPr>
          <w:lang w:val="ru-RU" w:eastAsia="ru-RU" w:bidi="ru-RU"/>
          <w:w w:val="100"/>
          <w:spacing w:val="0"/>
          <w:color w:val="000000"/>
          <w:position w:val="0"/>
        </w:rPr>
        <w:t xml:space="preserve">Исп. Матюшенко А.А., 8(495) 784-75-05 </w:t>
      </w:r>
      <w:r>
        <w:rPr>
          <w:rStyle w:val="CharStyle43"/>
        </w:rPr>
        <w:t>2022-37742</w:t>
      </w:r>
    </w:p>
    <w:sectPr>
      <w:headerReference w:type="default" r:id="rId16"/>
      <w:footerReference w:type="default" r:id="rId17"/>
      <w:footerReference w:type="first" r:id="rId18"/>
      <w:pgSz w:w="11909" w:h="16838"/>
      <w:pgMar w:top="885" w:left="852" w:right="852" w:bottom="37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4.05pt;margin-top:796.9pt;width:56.65pt;height:7.9pt;z-index:-188744063;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rPr>
                  <w:t>2022-37742</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3.05pt;margin-top:805.75pt;width:57.1pt;height:7.9pt;z-index:-188744062;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rPr>
                  <w:t>2022-37742</w:t>
                </w:r>
              </w:p>
            </w:txbxContent>
          </v:textbox>
          <w10:wrap anchorx="page" anchory="page"/>
        </v:shape>
      </w:pict>
    </w:r>
  </w:p>
</w:ftr>
</file>

<file path=word/footer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4.1pt;margin-top:38.5pt;width:10.1pt;height:7.7pt;z-index:-188744064;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fldSimple w:instr=" PAGE \* MERGEFORMAT ">
                  <w:r>
                    <w:rPr>
                      <w:rStyle w:val="CharStyle16"/>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3" type="#_x0000_t202" style="position:absolute;margin-left:293.4pt;margin-top:19.75pt;width:10.1pt;height:7.7pt;z-index:-188744061;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fldSimple w:instr=" PAGE \* MERGEFORMAT ">
                  <w:r>
                    <w:rPr>
                      <w:rStyle w:val="CharStyle16"/>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 Exact"/>
    <w:basedOn w:val="DefaultParagraphFont"/>
    <w:link w:val="Style3"/>
    <w:rPr>
      <w:b/>
      <w:bCs/>
      <w:i w:val="0"/>
      <w:iCs w:val="0"/>
      <w:u w:val="none"/>
      <w:strike w:val="0"/>
      <w:smallCaps w:val="0"/>
      <w:sz w:val="17"/>
      <w:szCs w:val="17"/>
      <w:rFonts w:ascii="Times New Roman" w:eastAsia="Times New Roman" w:hAnsi="Times New Roman" w:cs="Times New Roman"/>
      <w:spacing w:val="2"/>
    </w:rPr>
  </w:style>
  <w:style w:type="character" w:customStyle="1" w:styleId="CharStyle5">
    <w:name w:val="Подпись к картинке Exact"/>
    <w:basedOn w:val="CharStyle4"/>
    <w:rPr>
      <w:lang w:val="ru-RU" w:eastAsia="ru-RU" w:bidi="ru-RU"/>
      <w:w w:val="100"/>
      <w:color w:val="000000"/>
      <w:position w:val="0"/>
    </w:rPr>
  </w:style>
  <w:style w:type="character" w:customStyle="1" w:styleId="CharStyle6">
    <w:name w:val="Подпись к картинке Exact"/>
    <w:basedOn w:val="CharStyle4"/>
    <w:rPr>
      <w:lang w:val="ru-RU" w:eastAsia="ru-RU" w:bidi="ru-RU"/>
      <w:u w:val="single"/>
      <w:w w:val="100"/>
      <w:color w:val="000000"/>
      <w:position w:val="0"/>
    </w:rPr>
  </w:style>
  <w:style w:type="character" w:customStyle="1" w:styleId="CharStyle8">
    <w:name w:val="Основной текст (4) Exact"/>
    <w:basedOn w:val="DefaultParagraphFont"/>
    <w:link w:val="Style7"/>
    <w:rPr>
      <w:b/>
      <w:bCs/>
      <w:i w:val="0"/>
      <w:iCs w:val="0"/>
      <w:u w:val="none"/>
      <w:strike w:val="0"/>
      <w:smallCaps w:val="0"/>
      <w:sz w:val="17"/>
      <w:szCs w:val="17"/>
      <w:rFonts w:ascii="Times New Roman" w:eastAsia="Times New Roman" w:hAnsi="Times New Roman" w:cs="Times New Roman"/>
      <w:spacing w:val="2"/>
    </w:rPr>
  </w:style>
  <w:style w:type="character" w:customStyle="1" w:styleId="CharStyle9">
    <w:name w:val="Основной текст (4) Exact"/>
    <w:basedOn w:val="CharStyle8"/>
    <w:rPr>
      <w:lang w:val="ru-RU" w:eastAsia="ru-RU" w:bidi="ru-RU"/>
      <w:w w:val="100"/>
      <w:color w:val="000000"/>
      <w:position w:val="0"/>
    </w:rPr>
  </w:style>
  <w:style w:type="character" w:customStyle="1" w:styleId="CharStyle11">
    <w:name w:val="Основной текст (2)_"/>
    <w:basedOn w:val="DefaultParagraphFont"/>
    <w:link w:val="Style10"/>
    <w:rPr>
      <w:b w:val="0"/>
      <w:bCs w:val="0"/>
      <w:i w:val="0"/>
      <w:iCs w:val="0"/>
      <w:u w:val="none"/>
      <w:strike w:val="0"/>
      <w:smallCaps w:val="0"/>
      <w:sz w:val="18"/>
      <w:szCs w:val="18"/>
      <w:rFonts w:ascii="Times New Roman" w:eastAsia="Times New Roman" w:hAnsi="Times New Roman" w:cs="Times New Roman"/>
    </w:rPr>
  </w:style>
  <w:style w:type="character" w:customStyle="1" w:styleId="CharStyle12">
    <w:name w:val="Основной текст (2)"/>
    <w:basedOn w:val="CharStyle11"/>
    <w:rPr>
      <w:lang w:val="ru-RU" w:eastAsia="ru-RU" w:bidi="ru-RU"/>
      <w:w w:val="100"/>
      <w:spacing w:val="0"/>
      <w:color w:val="000000"/>
      <w:position w:val="0"/>
    </w:rPr>
  </w:style>
  <w:style w:type="character" w:customStyle="1" w:styleId="CharStyle13">
    <w:name w:val="Основной текст (2)"/>
    <w:basedOn w:val="CharStyle11"/>
    <w:rPr>
      <w:lang w:val="en-US" w:eastAsia="en-US" w:bidi="en-US"/>
      <w:u w:val="single"/>
      <w:w w:val="100"/>
      <w:spacing w:val="0"/>
      <w:color w:val="000000"/>
      <w:position w:val="0"/>
    </w:rPr>
  </w:style>
  <w:style w:type="character" w:customStyle="1" w:styleId="CharStyle15">
    <w:name w:val="Колонтитул_"/>
    <w:basedOn w:val="DefaultParagraphFont"/>
    <w:link w:val="Style14"/>
    <w:rPr>
      <w:b w:val="0"/>
      <w:bCs w:val="0"/>
      <w:i w:val="0"/>
      <w:iCs w:val="0"/>
      <w:u w:val="none"/>
      <w:strike w:val="0"/>
      <w:smallCaps w:val="0"/>
      <w:sz w:val="22"/>
      <w:szCs w:val="22"/>
      <w:rFonts w:ascii="Times New Roman" w:eastAsia="Times New Roman" w:hAnsi="Times New Roman" w:cs="Times New Roman"/>
    </w:rPr>
  </w:style>
  <w:style w:type="character" w:customStyle="1" w:styleId="CharStyle16">
    <w:name w:val="Колонтитул"/>
    <w:basedOn w:val="CharStyle15"/>
    <w:rPr>
      <w:lang w:val="ru-RU" w:eastAsia="ru-RU" w:bidi="ru-RU"/>
      <w:w w:val="100"/>
      <w:spacing w:val="0"/>
      <w:color w:val="000000"/>
      <w:position w:val="0"/>
    </w:rPr>
  </w:style>
  <w:style w:type="character" w:customStyle="1" w:styleId="CharStyle18">
    <w:name w:val="Основной текст (3)_"/>
    <w:basedOn w:val="DefaultParagraphFont"/>
    <w:link w:val="Style17"/>
    <w:rPr>
      <w:b w:val="0"/>
      <w:bCs w:val="0"/>
      <w:i w:val="0"/>
      <w:iCs w:val="0"/>
      <w:u w:val="none"/>
      <w:strike w:val="0"/>
      <w:smallCaps w:val="0"/>
      <w:sz w:val="20"/>
      <w:szCs w:val="20"/>
      <w:rFonts w:ascii="Times New Roman" w:eastAsia="Times New Roman" w:hAnsi="Times New Roman" w:cs="Times New Roman"/>
    </w:rPr>
  </w:style>
  <w:style w:type="character" w:customStyle="1" w:styleId="CharStyle19">
    <w:name w:val="Основной текст (3)"/>
    <w:basedOn w:val="CharStyle18"/>
    <w:rPr>
      <w:lang w:val="ru-RU" w:eastAsia="ru-RU" w:bidi="ru-RU"/>
      <w:w w:val="100"/>
      <w:spacing w:val="0"/>
      <w:color w:val="000000"/>
      <w:position w:val="0"/>
    </w:rPr>
  </w:style>
  <w:style w:type="character" w:customStyle="1" w:styleId="CharStyle21">
    <w:name w:val="Основной текст_"/>
    <w:basedOn w:val="DefaultParagraphFont"/>
    <w:link w:val="Style20"/>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Штрих-код (2)_"/>
    <w:basedOn w:val="DefaultParagraphFont"/>
    <w:link w:val="Style22"/>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5">
    <w:name w:val="Основной текст (5)_"/>
    <w:basedOn w:val="DefaultParagraphFont"/>
    <w:link w:val="Style24"/>
    <w:rPr>
      <w:b/>
      <w:bCs/>
      <w:i w:val="0"/>
      <w:iCs w:val="0"/>
      <w:u w:val="none"/>
      <w:strike w:val="0"/>
      <w:smallCaps w:val="0"/>
      <w:sz w:val="26"/>
      <w:szCs w:val="26"/>
      <w:rFonts w:ascii="Times New Roman" w:eastAsia="Times New Roman" w:hAnsi="Times New Roman" w:cs="Times New Roman"/>
    </w:rPr>
  </w:style>
  <w:style w:type="character" w:customStyle="1" w:styleId="CharStyle27">
    <w:name w:val="Основной текст (8) Exact"/>
    <w:basedOn w:val="DefaultParagraphFont"/>
    <w:link w:val="Style26"/>
    <w:rPr>
      <w:b/>
      <w:bCs/>
      <w:i w:val="0"/>
      <w:iCs w:val="0"/>
      <w:u w:val="none"/>
      <w:strike w:val="0"/>
      <w:smallCaps w:val="0"/>
      <w:sz w:val="20"/>
      <w:szCs w:val="20"/>
      <w:rFonts w:ascii="Consolas" w:eastAsia="Consolas" w:hAnsi="Consolas" w:cs="Consolas"/>
      <w:spacing w:val="-16"/>
    </w:rPr>
  </w:style>
  <w:style w:type="character" w:customStyle="1" w:styleId="CharStyle28">
    <w:name w:val="Основной текст (8) + 7 pt,Интервал 0 pt Exact"/>
    <w:basedOn w:val="CharStyle27"/>
    <w:rPr>
      <w:lang w:val="ru-RU" w:eastAsia="ru-RU" w:bidi="ru-RU"/>
      <w:sz w:val="14"/>
      <w:szCs w:val="14"/>
      <w:w w:val="100"/>
      <w:spacing w:val="0"/>
      <w:color w:val="000000"/>
      <w:position w:val="0"/>
    </w:rPr>
  </w:style>
  <w:style w:type="character" w:customStyle="1" w:styleId="CharStyle29">
    <w:name w:val="Основной текст (8) Exact"/>
    <w:basedOn w:val="CharStyle27"/>
    <w:rPr>
      <w:lang w:val="ru-RU" w:eastAsia="ru-RU" w:bidi="ru-RU"/>
      <w:w w:val="100"/>
      <w:color w:val="000000"/>
      <w:position w:val="0"/>
    </w:rPr>
  </w:style>
  <w:style w:type="character" w:customStyle="1" w:styleId="CharStyle31">
    <w:name w:val="Заголовок №1_"/>
    <w:basedOn w:val="DefaultParagraphFont"/>
    <w:link w:val="Style30"/>
    <w:rPr>
      <w:b/>
      <w:bCs/>
      <w:i w:val="0"/>
      <w:iCs w:val="0"/>
      <w:u w:val="none"/>
      <w:strike w:val="0"/>
      <w:smallCaps w:val="0"/>
      <w:sz w:val="26"/>
      <w:szCs w:val="26"/>
      <w:rFonts w:ascii="Times New Roman" w:eastAsia="Times New Roman" w:hAnsi="Times New Roman" w:cs="Times New Roman"/>
    </w:rPr>
  </w:style>
  <w:style w:type="character" w:customStyle="1" w:styleId="CharStyle32">
    <w:name w:val="Основной текст + Курсив"/>
    <w:basedOn w:val="CharStyle21"/>
    <w:rPr>
      <w:lang w:val="ru-RU" w:eastAsia="ru-RU" w:bidi="ru-RU"/>
      <w:i/>
      <w:iCs/>
      <w:w w:val="100"/>
      <w:spacing w:val="0"/>
      <w:color w:val="000000"/>
      <w:position w:val="0"/>
    </w:rPr>
  </w:style>
  <w:style w:type="character" w:customStyle="1" w:styleId="CharStyle33">
    <w:name w:val="Основной текст (5)"/>
    <w:basedOn w:val="CharStyle25"/>
    <w:rPr>
      <w:lang w:val="ru-RU" w:eastAsia="ru-RU" w:bidi="ru-RU"/>
      <w:w w:val="100"/>
      <w:spacing w:val="0"/>
      <w:color w:val="000000"/>
      <w:position w:val="0"/>
    </w:rPr>
  </w:style>
  <w:style w:type="character" w:customStyle="1" w:styleId="CharStyle35">
    <w:name w:val="Основной текст (6)_"/>
    <w:basedOn w:val="DefaultParagraphFont"/>
    <w:link w:val="Style34"/>
    <w:rPr>
      <w:b w:val="0"/>
      <w:bCs w:val="0"/>
      <w:i w:val="0"/>
      <w:iCs w:val="0"/>
      <w:u w:val="none"/>
      <w:strike w:val="0"/>
      <w:smallCaps w:val="0"/>
      <w:sz w:val="23"/>
      <w:szCs w:val="23"/>
      <w:rFonts w:ascii="Times New Roman" w:eastAsia="Times New Roman" w:hAnsi="Times New Roman" w:cs="Times New Roman"/>
    </w:rPr>
  </w:style>
  <w:style w:type="character" w:customStyle="1" w:styleId="CharStyle36">
    <w:name w:val="Основной текст (6)"/>
    <w:basedOn w:val="CharStyle35"/>
    <w:rPr>
      <w:lang w:val="ru-RU" w:eastAsia="ru-RU" w:bidi="ru-RU"/>
      <w:w w:val="100"/>
      <w:spacing w:val="0"/>
      <w:color w:val="000000"/>
      <w:position w:val="0"/>
    </w:rPr>
  </w:style>
  <w:style w:type="character" w:customStyle="1" w:styleId="CharStyle38">
    <w:name w:val="Основной текст (7)_"/>
    <w:basedOn w:val="DefaultParagraphFont"/>
    <w:link w:val="Style37"/>
    <w:rPr>
      <w:b w:val="0"/>
      <w:bCs w:val="0"/>
      <w:i w:val="0"/>
      <w:iCs w:val="0"/>
      <w:u w:val="none"/>
      <w:strike w:val="0"/>
      <w:smallCaps w:val="0"/>
      <w:sz w:val="9"/>
      <w:szCs w:val="9"/>
      <w:rFonts w:ascii="Times New Roman" w:eastAsia="Times New Roman" w:hAnsi="Times New Roman" w:cs="Times New Roman"/>
    </w:rPr>
  </w:style>
  <w:style w:type="character" w:customStyle="1" w:styleId="CharStyle39">
    <w:name w:val="Основной текст (7)"/>
    <w:basedOn w:val="CharStyle38"/>
    <w:rPr>
      <w:lang w:val="ru-RU" w:eastAsia="ru-RU" w:bidi="ru-RU"/>
      <w:w w:val="100"/>
      <w:spacing w:val="0"/>
      <w:color w:val="000000"/>
      <w:position w:val="0"/>
    </w:rPr>
  </w:style>
  <w:style w:type="character" w:customStyle="1" w:styleId="CharStyle40">
    <w:name w:val="Основной текст (7)"/>
    <w:basedOn w:val="CharStyle38"/>
    <w:rPr>
      <w:lang w:val="ru-RU" w:eastAsia="ru-RU" w:bidi="ru-RU"/>
      <w:w w:val="100"/>
      <w:spacing w:val="0"/>
      <w:color w:val="000000"/>
      <w:position w:val="0"/>
    </w:rPr>
  </w:style>
  <w:style w:type="character" w:customStyle="1" w:styleId="CharStyle41">
    <w:name w:val="Основной текст (7) + Consolas,Курсив"/>
    <w:basedOn w:val="CharStyle38"/>
    <w:rPr>
      <w:lang w:val="ru-RU" w:eastAsia="ru-RU" w:bidi="ru-RU"/>
      <w:i/>
      <w:iCs/>
      <w:rFonts w:ascii="Consolas" w:eastAsia="Consolas" w:hAnsi="Consolas" w:cs="Consolas"/>
      <w:w w:val="100"/>
      <w:spacing w:val="0"/>
      <w:color w:val="000000"/>
      <w:position w:val="0"/>
    </w:rPr>
  </w:style>
  <w:style w:type="character" w:customStyle="1" w:styleId="CharStyle42">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43">
    <w:name w:val="Основной текст (2) + 11,5 pt"/>
    <w:basedOn w:val="CharStyle11"/>
    <w:rPr>
      <w:lang w:val="ru-RU" w:eastAsia="ru-RU" w:bidi="ru-RU"/>
      <w:sz w:val="23"/>
      <w:szCs w:val="23"/>
      <w:w w:val="100"/>
      <w:spacing w:val="0"/>
      <w:color w:val="000000"/>
      <w:position w:val="0"/>
    </w:rPr>
  </w:style>
  <w:style w:type="paragraph" w:customStyle="1" w:styleId="Style3">
    <w:name w:val="Подпись к картинке"/>
    <w:basedOn w:val="Normal"/>
    <w:link w:val="CharStyle4"/>
    <w:pPr>
      <w:widowControl w:val="0"/>
      <w:shd w:val="clear" w:color="auto" w:fill="FFFFFF"/>
      <w:jc w:val="center"/>
      <w:spacing w:line="466"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7">
    <w:name w:val="Основной текст (4)"/>
    <w:basedOn w:val="Normal"/>
    <w:link w:val="CharStyle8"/>
    <w:pPr>
      <w:widowControl w:val="0"/>
      <w:shd w:val="clear" w:color="auto" w:fill="FFFFFF"/>
      <w:jc w:val="center"/>
      <w:spacing w:line="235"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10">
    <w:name w:val="Основной текст (2)"/>
    <w:basedOn w:val="Normal"/>
    <w:link w:val="CharStyle11"/>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4">
    <w:name w:val="Колонтитул"/>
    <w:basedOn w:val="Normal"/>
    <w:link w:val="CharStyle15"/>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7">
    <w:name w:val="Основной текст (3)"/>
    <w:basedOn w:val="Normal"/>
    <w:link w:val="CharStyle18"/>
    <w:pPr>
      <w:widowControl w:val="0"/>
      <w:shd w:val="clear" w:color="auto" w:fill="FFFFFF"/>
      <w:jc w:val="both"/>
      <w:spacing w:before="240" w:after="24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spacing w:after="300" w:line="326"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2">
    <w:name w:val="Штрих-код (2)"/>
    <w:basedOn w:val="Normal"/>
    <w:link w:val="CharStyle23"/>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4">
    <w:name w:val="Основной текст (5)"/>
    <w:basedOn w:val="Normal"/>
    <w:link w:val="CharStyle25"/>
    <w:pPr>
      <w:widowControl w:val="0"/>
      <w:shd w:val="clear" w:color="auto" w:fill="FFFFFF"/>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26">
    <w:name w:val="Основной текст (8)"/>
    <w:basedOn w:val="Normal"/>
    <w:link w:val="CharStyle27"/>
    <w:pPr>
      <w:widowControl w:val="0"/>
      <w:shd w:val="clear" w:color="auto" w:fill="FFFFFF"/>
      <w:spacing w:line="0" w:lineRule="exact"/>
    </w:pPr>
    <w:rPr>
      <w:b/>
      <w:bCs/>
      <w:i w:val="0"/>
      <w:iCs w:val="0"/>
      <w:u w:val="none"/>
      <w:strike w:val="0"/>
      <w:smallCaps w:val="0"/>
      <w:sz w:val="20"/>
      <w:szCs w:val="20"/>
      <w:rFonts w:ascii="Consolas" w:eastAsia="Consolas" w:hAnsi="Consolas" w:cs="Consolas"/>
      <w:spacing w:val="-16"/>
    </w:rPr>
  </w:style>
  <w:style w:type="paragraph" w:customStyle="1" w:styleId="Style30">
    <w:name w:val="Заголовок №1"/>
    <w:basedOn w:val="Normal"/>
    <w:link w:val="CharStyle31"/>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4">
    <w:name w:val="Основной текст (6)"/>
    <w:basedOn w:val="Normal"/>
    <w:link w:val="CharStyle35"/>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37">
    <w:name w:val="Основной текст (7)"/>
    <w:basedOn w:val="Normal"/>
    <w:link w:val="CharStyle38"/>
    <w:pPr>
      <w:widowControl w:val="0"/>
      <w:shd w:val="clear" w:color="auto" w:fill="FFFFFF"/>
      <w:jc w:val="both"/>
      <w:spacing w:line="322" w:lineRule="exact"/>
    </w:pPr>
    <w:rPr>
      <w:b w:val="0"/>
      <w:bCs w:val="0"/>
      <w:i w:val="0"/>
      <w:iCs w:val="0"/>
      <w:u w:val="none"/>
      <w:strike w:val="0"/>
      <w:smallCaps w:val="0"/>
      <w:sz w:val="9"/>
      <w:szCs w:val="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image" Target="media/image2.jpeg"/><Relationship Id="rId11" Type="http://schemas.openxmlformats.org/officeDocument/2006/relationships/image" Target="media/image2.jpeg" TargetMode="External"/><Relationship Id="rId12" Type="http://schemas.openxmlformats.org/officeDocument/2006/relationships/image" Target="media/image3.jpeg"/><Relationship Id="rId13" Type="http://schemas.openxmlformats.org/officeDocument/2006/relationships/image" Target="media/image3.jpeg" TargetMode="External"/><Relationship Id="rId14" Type="http://schemas.openxmlformats.org/officeDocument/2006/relationships/image" Target="media/image4.jpeg"/><Relationship Id="rId15" Type="http://schemas.openxmlformats.org/officeDocument/2006/relationships/image" Target="media/image4.jpeg" TargetMode="External"/><Relationship Id="rId16" Type="http://schemas.openxmlformats.org/officeDocument/2006/relationships/header" Target="header2.xml"/><Relationship Id="rId17" Type="http://schemas.openxmlformats.org/officeDocument/2006/relationships/footer" Target="footer3.xml"/><Relationship Id="rId18" Type="http://schemas.openxmlformats.org/officeDocument/2006/relationships/footer" Target="footer4.xml"/></Relationships>
</file>