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35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1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«Шелковый путь»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1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115408, г. Москва, ул. Братеевская, д. 18, корп. 3, кв. 193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1060" w:right="0" w:firstLine="0"/>
      </w:pPr>
      <w:r>
        <w:fldChar w:fldCharType="begin"/>
      </w:r>
      <w:r>
        <w:rPr>
          <w:color w:val="000000"/>
        </w:rPr>
        <w:instrText> HYPERLINK "mailto:ras-993@yandex.ru"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ras-993@yandex.ru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1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КП «ВДНХ»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1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129223, г. Москва, проспект Мира, д. 119, стр. 230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1060" w:right="0" w:firstLine="0"/>
      </w:pPr>
      <w:r>
        <w:fldChar w:fldCharType="begin"/>
      </w:r>
      <w:r>
        <w:rPr>
          <w:color w:val="000000"/>
        </w:rPr>
        <w:instrText> HYPERLINK "mailto:imiropolcev@vdnh.ru"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imiropolcev@vdnh.ru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42" w:line="260" w:lineRule="exact"/>
        <w:ind w:left="5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8" w:lineRule="exact"/>
        <w:ind w:left="52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115114, Москва, ул Кожевническая 14, стр. 5 </w:t>
      </w: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10"/>
        <w:tabs>
          <w:tab w:leader="none" w:pos="9630" w:val="center"/>
          <w:tab w:leader="none" w:pos="1075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4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077/06/106-9869/2022 о нарушении законодательства о контрактной системе 28.06.2022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генерального директора ООО «Шелковый путь»: Насирова Р.Б.; представителя КП «ВДНХ»: Корсанова М.А. (по доверенности №01-17-106/21 от 21.10.2021) и Славновой М.К. (по доверенности № КП-01-17-125/21 от 15.11.2021),</w:t>
      </w:r>
    </w:p>
    <w:p>
      <w:pPr>
        <w:pStyle w:val="Style3"/>
        <w:framePr w:w="1680" w:h="394" w:wrap="around" w:vAnchor="text" w:hAnchor="margin" w:x="385" w:y="106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000414119333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6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«Шелковый путь» (далее — Заявитель) на действия КП «ВДНХ» (далее — Заказчик) при проведении электронного аукциона на право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2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заключения государственного контракта на поставку сушилок для рук. (Закупка № 0573500000122000161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4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запрашиваемые письмом Московского УФАС России от 24.06.2022 №ЕИ/33645/22, Комиссия Управления установила следующее.</w:t>
      </w:r>
    </w:p>
    <w:p>
      <w:pPr>
        <w:pStyle w:val="Style5"/>
        <w:tabs>
          <w:tab w:leader="none" w:pos="2305" w:val="left"/>
          <w:tab w:leader="none" w:pos="2967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при проведении рассматриваемой закупочной процедуры Заказчиком неправомерно применены условия допуска в соответствии с положениями приказа Министерства финансов Российской Федерации от 04.06.2018</w:t>
        <w:tab/>
        <w:t>№</w:t>
        <w:tab/>
        <w:t>126н «Об условиях допуска товаров, происходящих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 — приказ № 126н), что влечет за собой направление проекта государственного контракта на подписание победителю аукциона в лице ООО «Шелковый путь» с ценой контракта со снижением на 15 процентов от предложенной победителем.</w:t>
      </w:r>
    </w:p>
    <w:p>
      <w:pPr>
        <w:pStyle w:val="Style5"/>
        <w:tabs>
          <w:tab w:leader="none" w:pos="2694" w:val="center"/>
          <w:tab w:leader="none" w:pos="4998" w:val="right"/>
          <w:tab w:leader="none" w:pos="6879" w:val="right"/>
          <w:tab w:leader="none" w:pos="8914" w:val="right"/>
          <w:tab w:leader="none" w:pos="10772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определения поставщика (подрядчика, исполнителя)</w:t>
        <w:tab/>
        <w:t>от</w:t>
        <w:tab/>
        <w:t>15.06.2022</w:t>
        <w:tab/>
        <w:t>№ИЭА1</w:t>
        <w:tab/>
        <w:t>участник</w:t>
        <w:tab/>
        <w:t>закупки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«Шелковый путь» (идентификационный номер заявки: 2) признан победителем электронного аукциона.</w:t>
      </w:r>
    </w:p>
    <w:p>
      <w:pPr>
        <w:pStyle w:val="Style5"/>
        <w:tabs>
          <w:tab w:leader="none" w:pos="2688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</w:t>
        <w:tab/>
        <w:t>ст.14 Закона о контрактной системе федеральный орган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товаров, происход</w:t>
      </w:r>
      <w:r>
        <w:rPr>
          <w:rStyle w:val="CharStyle14"/>
        </w:rPr>
        <w:t>ящ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их из иностранного государства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Федерации установлен запрет в соответствии с ч.3 ст.14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п.15 ч.1 ст.42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ст.14 Закона о контрактной системе.</w:t>
      </w:r>
    </w:p>
    <w:p>
      <w:pPr>
        <w:pStyle w:val="Style5"/>
        <w:tabs>
          <w:tab w:leader="none" w:pos="2780" w:val="left"/>
          <w:tab w:leader="none" w:pos="3428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</w:t>
        <w:tab/>
        <w:t>ч.2</w:t>
        <w:tab/>
        <w:t>ст.42 Закона о контрактной системе, извещение об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осуществлении закупки должно содержать описание объекта закупки в соответствии со статьей 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п.9.4 информационной карты указано на применение в рамках рассматриваемой закупки условий допуска товаров, происходящих из иностранного государства или группы иностранных государств, на основании положений приказа №126н.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«а» п.1.3 приказа №126н при проведении аукциона контракт заключается по цене, сниженной на 15 процентов от предложенной победителем аукциона в случае, если заявка такого победителя содержит предложение о поставке товаров, указанных в Приложении,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</w:p>
    <w:p>
      <w:pPr>
        <w:pStyle w:val="Style5"/>
        <w:tabs>
          <w:tab w:leader="none" w:pos="8122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приказа №126н положения пп.1.1-.1.3</w:t>
        <w:tab/>
        <w:t>п.1 приказа №126н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применяются при проведении конкурса, аукциона, запроса котировок, запроса предложений в случаях, если: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конкурс, аукцион, запрос котировок, запрос предложений признается не состоявшимся в случаях, предусмотренных Законом о контрактной системе;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все заявки (окончательные предложения) участников закупки, признанные в порядке, предусмотренном Законом о контрактной системе, соответствующими требованиям документации о закупке, извещения о проведении запроса котировок, содержат предложения о поставке товаров, указанных в Приложении и происходящих исключительно из государств - членов Евразийского экономического союза;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все заявки (окончательные предложения) участников закупки, признанные в порядке, предусмотренном Законом о контрактной системе, соответствующими требованиям документации о закупке, извещения о проведении запроса котировок, содержат предложение о поставке указанных в Приложении товаров,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/>
      </w:pPr>
      <w:r>
        <w:rPr>
          <w:rStyle w:val="CharStyle15"/>
          <w:b w:val="0"/>
          <w:bCs w:val="0"/>
        </w:rPr>
        <w:t xml:space="preserve">В силу п.1.6 приказа №126н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подтверждением страны происхождения товаров, указанных в Приложении, является указание (декларирование) участником закупки в заявке </w:t>
      </w:r>
      <w:r>
        <w:rPr>
          <w:rStyle w:val="CharStyle15"/>
          <w:b w:val="0"/>
          <w:bCs w:val="0"/>
        </w:rPr>
        <w:t>в соответствии с Федеральным законом наименования страны происхождения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заседания Комиссией Управления установлено, что на участие в электронном аукционе было подано 16 заявок, при этом предложение о цене контракта было подано 12 участниками с товарами, страной происхождения которых является Китайская народная республика.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ст.106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в составе заявки участника №13 продекларирована страна происхождения товаров — Российская Федерация.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Комиссией Управления установлено, что участник закупки с заявкой №13, предложивший товар, страной происхождения которого является Российская Федерация, ценовое предложение не подавал. Остальными участниками с заявками № 1, №4, №5, №7, №8, №11, №12, №14, №15, №18, №19 поданы ценовые предложения и продекларирована страна происхождения товаров — Китайская народная республика.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отмечает, что при осуществлении закупки отсутствовали основания для применения 15%-ого понижающего коэффициента, поскольку участниками закупки, подавшими ценовые предложения, предложены к поставке исключительно товары, страной происхождения которых является Китайская народная республика.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выводу, что решение Заказчика в части применения к победителю аукциона понижения предложенной цены контракта является неправомерным и нарушает положения ч.4 ст.14 Закона о контрактной системе, что содержит признаки состава административного правонарушения, предусмотренного ч.1 ст.7.32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99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«Шелковый путь» на действия КП «ВДНХ» обоснованной.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ч.4 ст.14 Закона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81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5"/>
        <w:tabs>
          <w:tab w:leader="none" w:pos="9139" w:val="left"/>
        </w:tabs>
        <w:widowControl w:val="0"/>
        <w:keepNext w:val="0"/>
        <w:keepLines w:val="0"/>
        <w:shd w:val="clear" w:color="auto" w:fill="auto"/>
        <w:bidi w:val="0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 Казарин</w:t>
      </w:r>
    </w:p>
    <w:p>
      <w:pPr>
        <w:pStyle w:val="Style5"/>
        <w:tabs>
          <w:tab w:leader="none" w:pos="9173" w:val="right"/>
          <w:tab w:leader="none" w:pos="10714" w:val="right"/>
        </w:tabs>
        <w:widowControl w:val="0"/>
        <w:keepNext w:val="0"/>
        <w:keepLines w:val="0"/>
        <w:shd w:val="clear" w:color="auto" w:fill="auto"/>
        <w:bidi w:val="0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Матюшенко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49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</w:t>
      </w:r>
    </w:p>
    <w:sectPr>
      <w:headerReference w:type="default" r:id="rId9"/>
      <w:footerReference w:type="default" r:id="rId10"/>
      <w:footerReference w:type="firs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9" w:left="559" w:right="535" w:bottom="7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9.65pt;margin-top:807.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2022-37608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30.1pt;margin-top:811.55pt;width:56.9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2022-37608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5.8pt;margin-top:44.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Колонтитул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Колонтитул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2) + Не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line="322" w:lineRule="exact"/>
      <w:ind w:firstLine="72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center"/>
      <w:outlineLvl w:val="0"/>
      <w:spacing w:before="180"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jc w:val="both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