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jc w:val="left"/>
        <w:spacing w:before="0" w:after="303" w:line="260" w:lineRule="exact"/>
        <w:ind w:left="20" w:right="0" w:firstLine="0"/>
      </w:pPr>
      <w:r>
        <w:rPr>
          <w:lang w:val="ru-RU" w:eastAsia="ru-RU" w:bidi="ru-RU"/>
          <w:w w:val="100"/>
          <w:spacing w:val="0"/>
          <w:color w:val="000000"/>
          <w:position w:val="0"/>
        </w:rPr>
        <w:t>ГБУ «Гормост»</w:t>
      </w:r>
    </w:p>
    <w:p>
      <w:pPr>
        <w:pStyle w:val="Style20"/>
        <w:widowControl w:val="0"/>
        <w:keepNext w:val="0"/>
        <w:keepLines w:val="0"/>
        <w:shd w:val="clear" w:color="auto" w:fill="auto"/>
        <w:bidi w:val="0"/>
        <w:jc w:val="left"/>
        <w:spacing w:before="0" w:after="349" w:line="322" w:lineRule="exact"/>
        <w:ind w:left="20" w:right="440" w:firstLine="0"/>
      </w:pPr>
      <w:r>
        <w:rPr>
          <w:lang w:val="ru-RU" w:eastAsia="ru-RU" w:bidi="ru-RU"/>
          <w:w w:val="100"/>
          <w:spacing w:val="0"/>
          <w:color w:val="000000"/>
          <w:position w:val="0"/>
        </w:rPr>
        <w:t xml:space="preserve">пер. Верхний Золоторожский, д. 5, стр. 3, г. Москва, 111033, </w:t>
      </w:r>
      <w:r>
        <w:fldChar w:fldCharType="begin"/>
      </w:r>
      <w:r>
        <w:rPr>
          <w:color w:val="000000"/>
        </w:rPr>
        <w:instrText> HYPERLINK "mailto:torgi-gormost@dom.mos.ru" </w:instrText>
      </w:r>
      <w:r>
        <w:fldChar w:fldCharType="separate"/>
      </w:r>
      <w:r>
        <w:rPr>
          <w:rStyle w:val="Hyperlink"/>
          <w:lang w:val="en-US" w:eastAsia="en-US" w:bidi="en-US"/>
          <w:w w:val="100"/>
          <w:spacing w:val="0"/>
          <w:position w:val="0"/>
        </w:rPr>
        <w:t>torgi-gormost@dom.mos.ru</w:t>
      </w:r>
      <w:r>
        <w:fldChar w:fldCharType="end"/>
      </w:r>
    </w:p>
    <w:p>
      <w:pPr>
        <w:pStyle w:val="Style20"/>
        <w:widowControl w:val="0"/>
        <w:keepNext w:val="0"/>
        <w:keepLines w:val="0"/>
        <w:shd w:val="clear" w:color="auto" w:fill="auto"/>
        <w:bidi w:val="0"/>
        <w:jc w:val="left"/>
        <w:spacing w:before="0" w:after="303" w:line="260" w:lineRule="exact"/>
        <w:ind w:left="20" w:right="0" w:firstLine="0"/>
      </w:pPr>
      <w:r>
        <w:rPr>
          <w:lang w:val="ru-RU" w:eastAsia="ru-RU" w:bidi="ru-RU"/>
          <w:w w:val="100"/>
          <w:spacing w:val="0"/>
          <w:color w:val="000000"/>
          <w:position w:val="0"/>
        </w:rPr>
        <w:t>ООО «СО «Антитеррор»</w:t>
      </w:r>
    </w:p>
    <w:p>
      <w:pPr>
        <w:pStyle w:val="Style20"/>
        <w:widowControl w:val="0"/>
        <w:keepNext w:val="0"/>
        <w:keepLines w:val="0"/>
        <w:shd w:val="clear" w:color="auto" w:fill="auto"/>
        <w:bidi w:val="0"/>
        <w:jc w:val="left"/>
        <w:spacing w:before="0" w:after="349" w:line="322" w:lineRule="exact"/>
        <w:ind w:left="20" w:right="0" w:firstLine="0"/>
      </w:pPr>
      <w:r>
        <w:rPr>
          <w:lang w:val="ru-RU" w:eastAsia="ru-RU" w:bidi="ru-RU"/>
          <w:w w:val="100"/>
          <w:spacing w:val="0"/>
          <w:color w:val="000000"/>
          <w:position w:val="0"/>
        </w:rPr>
        <w:t xml:space="preserve">пр-т. Мира, двлд. 119, стр. 619, пом. 3, комн. 1, г. Москва, 129223, </w:t>
      </w:r>
      <w:r>
        <w:fldChar w:fldCharType="begin"/>
      </w:r>
      <w:r>
        <w:rPr>
          <w:color w:val="000000"/>
        </w:rPr>
        <w:instrText> HYPERLINK "mailto:zakupki_co@a-terror.ru" </w:instrText>
      </w:r>
      <w:r>
        <w:fldChar w:fldCharType="separate"/>
      </w:r>
      <w:r>
        <w:rPr>
          <w:rStyle w:val="Hyperlink"/>
          <w:lang w:val="en-US" w:eastAsia="en-US" w:bidi="en-US"/>
          <w:w w:val="100"/>
          <w:spacing w:val="0"/>
          <w:position w:val="0"/>
        </w:rPr>
        <w:t>zakupki_co@a-terror.ru</w:t>
      </w:r>
      <w:r>
        <w:fldChar w:fldCharType="end"/>
      </w:r>
    </w:p>
    <w:p>
      <w:pPr>
        <w:pStyle w:val="Style20"/>
        <w:widowControl w:val="0"/>
        <w:keepNext w:val="0"/>
        <w:keepLines w:val="0"/>
        <w:shd w:val="clear" w:color="auto" w:fill="auto"/>
        <w:bidi w:val="0"/>
        <w:jc w:val="left"/>
        <w:spacing w:before="0" w:after="0" w:line="260" w:lineRule="exact"/>
        <w:ind w:left="2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979" w:left="885" w:right="1192" w:bottom="341" w:header="0" w:footer="3" w:gutter="0"/>
          <w:rtlGutter w:val="0"/>
          <w:cols w:num="2" w:space="720" w:equalWidth="0">
            <w:col w:w="3941" w:space="1325"/>
            <w:col w:w="4565"/>
          </w:cols>
          <w:noEndnote/>
          <w:docGrid w:linePitch="360"/>
        </w:sectPr>
      </w:pPr>
      <w:r>
        <w:rPr>
          <w:lang w:val="ru-RU" w:eastAsia="ru-RU" w:bidi="ru-RU"/>
          <w:w w:val="100"/>
          <w:spacing w:val="0"/>
          <w:color w:val="000000"/>
          <w:position w:val="0"/>
        </w:rPr>
        <w:t>ООО «КБ услуг»</w:t>
      </w:r>
    </w:p>
    <w:p>
      <w:pPr>
        <w:widowControl w:val="0"/>
        <w:spacing w:before="45" w:after="45"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left"/>
        <w:spacing w:before="0" w:after="300" w:line="322" w:lineRule="exact"/>
        <w:ind w:left="5340" w:right="800" w:firstLine="0"/>
      </w:pPr>
      <w:r>
        <w:rPr>
          <w:lang w:val="ru-RU" w:eastAsia="ru-RU" w:bidi="ru-RU"/>
          <w:w w:val="100"/>
          <w:spacing w:val="0"/>
          <w:color w:val="000000"/>
          <w:position w:val="0"/>
        </w:rPr>
        <w:t xml:space="preserve">ул. Электрозаводская, д. 29, стр. 2, 107023, г. Москва, комн. 9, </w:t>
      </w:r>
      <w:r>
        <w:fldChar w:fldCharType="begin"/>
      </w:r>
      <w:r>
        <w:rPr>
          <w:color w:val="000000"/>
        </w:rPr>
        <w:instrText> HYPERLINK "mailto:kbu@kbuslug.ru" </w:instrText>
      </w:r>
      <w:r>
        <w:fldChar w:fldCharType="separate"/>
      </w:r>
      <w:r>
        <w:rPr>
          <w:rStyle w:val="Hyperlink"/>
          <w:lang w:val="en-US" w:eastAsia="en-US" w:bidi="en-US"/>
          <w:w w:val="100"/>
          <w:spacing w:val="0"/>
          <w:position w:val="0"/>
        </w:rPr>
        <w:t>kbu@kbuslug.ru</w:t>
      </w:r>
      <w:r>
        <w:fldChar w:fldCharType="end"/>
      </w:r>
    </w:p>
    <w:p>
      <w:pPr>
        <w:pStyle w:val="Style24"/>
        <w:tabs>
          <w:tab w:leader="none" w:pos="8934" w:val="right"/>
          <w:tab w:leader="none" w:pos="9986" w:val="right"/>
        </w:tabs>
        <w:widowControl w:val="0"/>
        <w:keepNext w:val="0"/>
        <w:keepLines w:val="0"/>
        <w:shd w:val="clear" w:color="auto" w:fill="auto"/>
        <w:bidi w:val="0"/>
        <w:jc w:val="left"/>
        <w:spacing w:before="0" w:after="0"/>
        <w:ind w:left="40" w:right="260" w:firstLine="4360"/>
      </w:pPr>
      <w:r>
        <w:rPr>
          <w:lang w:val="ru-RU" w:eastAsia="ru-RU" w:bidi="ru-RU"/>
          <w:w w:val="100"/>
          <w:spacing w:val="0"/>
          <w:color w:val="000000"/>
          <w:position w:val="0"/>
        </w:rPr>
        <w:t>РЕШЕНИЕ по делу №077/06/106-9911/2022 о нарушении законодательства о контрактной системе 29.06.2022</w:t>
        <w:tab/>
        <w:t>г.</w:t>
        <w:tab/>
        <w:t>Москва</w:t>
      </w:r>
    </w:p>
    <w:p>
      <w:pPr>
        <w:pStyle w:val="Style20"/>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20"/>
        <w:tabs>
          <w:tab w:leader="none" w:pos="5040" w:val="right"/>
          <w:tab w:leader="none" w:pos="5390" w:val="left"/>
        </w:tabs>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Председательствующего:</w:t>
        <w:tab/>
        <w:t>главного</w:t>
        <w:tab/>
        <w:t>государственного инспектора отдела</w:t>
      </w:r>
    </w:p>
    <w:p>
      <w:pPr>
        <w:pStyle w:val="Style20"/>
        <w:widowControl w:val="0"/>
        <w:keepNext w:val="0"/>
        <w:keepLines w:val="0"/>
        <w:shd w:val="clear" w:color="auto" w:fill="auto"/>
        <w:bidi w:val="0"/>
        <w:jc w:val="left"/>
        <w:spacing w:before="0" w:after="0" w:line="322" w:lineRule="exact"/>
        <w:ind w:left="40" w:right="0" w:firstLine="0"/>
      </w:pPr>
      <w:r>
        <w:rPr>
          <w:lang w:val="ru-RU" w:eastAsia="ru-RU" w:bidi="ru-RU"/>
          <w:w w:val="100"/>
          <w:spacing w:val="0"/>
          <w:color w:val="000000"/>
          <w:position w:val="0"/>
        </w:rPr>
        <w:t>обжалования государственных закупок С.И. Казарина,</w:t>
      </w:r>
    </w:p>
    <w:p>
      <w:pPr>
        <w:pStyle w:val="Style20"/>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Членов Комиссии:</w:t>
      </w:r>
    </w:p>
    <w:p>
      <w:pPr>
        <w:pStyle w:val="Style20"/>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20"/>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Специалиста-эксперта отдела обжалования государственных закупок М.О. Мацневой,</w:t>
      </w:r>
    </w:p>
    <w:p>
      <w:pPr>
        <w:pStyle w:val="Style20"/>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рассмотрение жалоб проводилось дистанционно (посредством видеоконференц</w:t>
        <w:softHyphen/>
        <w:t xml:space="preserve">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20"/>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при участии представителей: ООО «КБ услуг», ООО «СО «Антитеррор», ГБУ «Гормост»,</w:t>
      </w:r>
    </w:p>
    <w:p>
      <w:pPr>
        <w:pStyle w:val="Style22"/>
        <w:framePr w:w="1685" w:h="394" w:wrap="around" w:vAnchor="text" w:hAnchor="margin" w:x="385" w:y="2036"/>
        <w:widowControl w:val="0"/>
        <w:keepNext w:val="0"/>
        <w:keepLines w:val="0"/>
        <w:shd w:val="clear" w:color="auto" w:fill="auto"/>
        <w:bidi w:val="0"/>
        <w:jc w:val="left"/>
        <w:spacing w:before="0" w:after="0" w:line="240" w:lineRule="auto"/>
        <w:ind w:left="0" w:right="0" w:firstLine="0"/>
      </w:pPr>
      <w:r>
        <w:rPr>
          <w:w w:val="100"/>
          <w:spacing w:val="0"/>
          <w:color w:val="000000"/>
          <w:position w:val="0"/>
        </w:rPr>
        <w:t>001659792228</w:t>
      </w:r>
    </w:p>
    <w:p>
      <w:pPr>
        <w:pStyle w:val="Style20"/>
        <w:widowControl w:val="0"/>
        <w:keepNext w:val="0"/>
        <w:keepLines w:val="0"/>
        <w:shd w:val="clear" w:color="auto" w:fill="auto"/>
        <w:bidi w:val="0"/>
        <w:jc w:val="both"/>
        <w:spacing w:before="0" w:after="356" w:line="322" w:lineRule="exact"/>
        <w:ind w:left="40" w:right="20" w:firstLine="680"/>
      </w:pPr>
      <w:r>
        <w:rPr>
          <w:lang w:val="ru-RU" w:eastAsia="ru-RU" w:bidi="ru-RU"/>
          <w:w w:val="100"/>
          <w:spacing w:val="0"/>
          <w:color w:val="000000"/>
          <w:position w:val="0"/>
        </w:rPr>
        <w:t>рассмотрев жалобы ООО «СО «Антитеррор» (далее — Заявитель) на действия ГБУ «Гормост» (далее — Заказчик) при проведении открытых конкурсов в электронной форме на право заключения государственных контрактов на оказание услуг по дополнительной оценке уязвимости и внесению изменений в планы обеспечения транспортной безопасности объектов транспортной инфраструктуры</w:t>
      </w:r>
    </w:p>
    <w:p>
      <w:pPr>
        <w:framePr w:h="461" w:wrap="notBeside" w:vAnchor="text" w:hAnchor="text" w:y="1"/>
        <w:widowControl w:val="0"/>
        <w:jc w:val="left"/>
        <w:rPr>
          <w:sz w:val="2"/>
          <w:szCs w:val="2"/>
        </w:rPr>
      </w:pPr>
      <w:r>
        <w:pict>
          <v:shape id="_x0000_s1030" type="#_x0000_t75" style="width:126pt;height:23pt;">
            <v:imagedata r:id="rId10" r:href="rId11"/>
          </v:shape>
        </w:pict>
      </w:r>
    </w:p>
    <w:p>
      <w:pPr>
        <w:widowControl w:val="0"/>
        <w:rPr>
          <w:sz w:val="2"/>
          <w:szCs w:val="2"/>
        </w:rPr>
      </w:pPr>
    </w:p>
    <w:p>
      <w:pPr>
        <w:widowControl w:val="0"/>
        <w:rPr>
          <w:sz w:val="2"/>
          <w:szCs w:val="2"/>
        </w:rPr>
        <w:sectPr>
          <w:type w:val="continuous"/>
          <w:pgSz w:w="11909" w:h="16838"/>
          <w:pgMar w:top="964" w:left="818" w:right="847" w:bottom="326" w:header="0" w:footer="3" w:gutter="0"/>
          <w:rtlGutter w:val="0"/>
          <w:cols w:space="720"/>
          <w:noEndnote/>
          <w:docGrid w:linePitch="360"/>
        </w:sectPr>
      </w:pPr>
    </w:p>
    <w:p>
      <w:pPr>
        <w:pStyle w:val="Style20"/>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ГБУ «Гормост» (мосты, путепроводы, эстакады, тоннели), оказание услуг по разработке паспортов обеспечения транспортной безопасности объектов транспортной инфраструктуры ГБУ «Гормост» (Закупки №№0373200557922000380, 0373200557922000311) (далее — конкурсы),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(в редакции от 02.07.2021 года)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26"/>
        <w:widowControl w:val="0"/>
        <w:keepNext/>
        <w:keepLines/>
        <w:shd w:val="clear" w:color="auto" w:fill="auto"/>
        <w:bidi w:val="0"/>
        <w:jc w:val="left"/>
        <w:spacing w:before="0" w:after="303"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поступили жалобы Заявителя на действия Заказчика при проведении открытых конкурсов в электронной форме.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Московским УФАС России посредством функционала Единой информационной системы.</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результате рассмотрения жалоб, рассмотрев представленные документы и сведения, Комиссия Управления установила следующее.</w:t>
      </w:r>
    </w:p>
    <w:p>
      <w:pPr>
        <w:pStyle w:val="Style20"/>
        <w:numPr>
          <w:ilvl w:val="0"/>
          <w:numId w:val="1"/>
        </w:numPr>
        <w:tabs>
          <w:tab w:leader="none" w:pos="1105"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составе жалоб Заявитель указывает, что закупочными комиссиями Заказчика нарушены нормы Закона о контрактной системе в результате признания заявок ООО «КБ услуг» соответствующими требованиям извещения и Закона о контрактной системе, так как, по мнению Заявителя, в составе заявки участника закупки ООО «КБ услуг» представлены контракты не соответствующие предмету проводимых конкурсов и требованиям Приложения «Дополнительные требования к участникам закупки отдельных видов товаров, работ, услуг для обеспечения государственных и муниципальных нужд» (далее - Приложение) Постановления Правительства РФ от 29.12.2021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№2571).</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протоколам подведения итогов определения поставщика (подрядчика, исполнителя) от 17.06.2022 заявки участника закупок ООО «КБ услуг», с идентификационными номерами 2 (по закупочной процедуре №0373200557922000380) и 4 (по закупочной процедуре №0373200557922000311), признаны соответствующими требованиям извещений и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ч.2 ст.48 Закона о контрактной системе заявка на участие в закупке состоит из трех частей, при этом вторая часть должна содержать информацию и документы, предусмотренные пп.«м» - «р» п.1, пп «в» п.2, п.5 ч.1 ст.43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пп.«н» п.1 ч.1 ст.43 Закона о контрактной системе заявка на участие в закупке должна содержать документы, подтверждающие соответствие участника закупки требованиям, установленным п.1 ч.1 ст.31 Закона о контрактной системе, документы, подтверждающие соответствие участника закупки дополнительным требованиям, установленным в соответствии с ч.2 и 2.1 (при наличии таких требований) ст.31 Закона о контрактной системе, если иное не предусмотрено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20"/>
        <w:numPr>
          <w:ilvl w:val="0"/>
          <w:numId w:val="3"/>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финансовых ресурсов для исполнения контракта;</w:t>
      </w:r>
    </w:p>
    <w:p>
      <w:pPr>
        <w:pStyle w:val="Style20"/>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20"/>
        <w:numPr>
          <w:ilvl w:val="0"/>
          <w:numId w:val="3"/>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20"/>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ч.2.1 ст.31 Закона о контрактной системе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ч.2 ст.31 Закона о контрактной системе)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20"/>
        <w:tabs>
          <w:tab w:leader="none" w:pos="3004" w:val="center"/>
          <w:tab w:leader="none" w:pos="3590" w:val="lef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Согласно ч.5</w:t>
        <w:tab/>
        <w:t>ст.31</w:t>
        <w:tab/>
        <w:t>Закона о контрактной системе информация об</w:t>
      </w:r>
    </w:p>
    <w:p>
      <w:pPr>
        <w:pStyle w:val="Style20"/>
        <w:tabs>
          <w:tab w:leader="none" w:pos="6180" w:val="left"/>
          <w:tab w:leader="none" w:pos="8213" w:val="right"/>
          <w:tab w:leader="none" w:pos="10191"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установленных требованиях в соответствии с</w:t>
        <w:tab/>
        <w:t>ч.1, 1.1, 2 и</w:t>
        <w:tab/>
        <w:t>2.1</w:t>
        <w:tab/>
        <w:t>ст.31 Закона о</w:t>
      </w:r>
    </w:p>
    <w:p>
      <w:pPr>
        <w:pStyle w:val="Style20"/>
        <w:tabs>
          <w:tab w:leader="none" w:pos="6107" w:val="right"/>
          <w:tab w:leader="none" w:pos="6251" w:val="left"/>
          <w:tab w:leader="none" w:pos="8213" w:val="right"/>
          <w:tab w:leader="none" w:pos="10191"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контрактной системе</w:t>
        <w:tab/>
        <w:t>указывается заказчиком</w:t>
        <w:tab/>
        <w:t>в извещении</w:t>
        <w:tab/>
        <w:t>об</w:t>
        <w:tab/>
        <w:t>осуществлении</w:t>
      </w:r>
    </w:p>
    <w:p>
      <w:pPr>
        <w:pStyle w:val="Style20"/>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закупки и документации о закупке (в случае, если настоящим Федеральным законом предусмотрена документация о закупке).</w:t>
      </w:r>
    </w:p>
    <w:p>
      <w:pPr>
        <w:pStyle w:val="Style20"/>
        <w:tabs>
          <w:tab w:leader="none" w:pos="6246" w:val="left"/>
          <w:tab w:leader="none" w:pos="6174" w:val="left"/>
          <w:tab w:leader="none" w:pos="10191" w:val="righ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извещениями о проведении открытых конкурсов</w:t>
        <w:tab/>
        <w:t>в электронной форме</w:t>
        <w:tab/>
        <w:t>дополнительные</w:t>
        <w:tab/>
        <w:t>требования в</w:t>
      </w:r>
    </w:p>
    <w:p>
      <w:pPr>
        <w:pStyle w:val="Style20"/>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соответствии с ч.2 ст.31 Закона о контрактной системе не устанавливались.</w:t>
      </w:r>
    </w:p>
    <w:p>
      <w:pPr>
        <w:pStyle w:val="Style20"/>
        <w:tabs>
          <w:tab w:leader="none" w:pos="6107" w:val="right"/>
          <w:tab w:leader="none" w:pos="6259" w:val="left"/>
          <w:tab w:leader="none" w:pos="8213" w:val="righ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Вместе с этим</w:t>
        <w:tab/>
        <w:t>Комиссией Управления</w:t>
        <w:tab/>
        <w:t>установлены,</w:t>
        <w:tab/>
        <w:t>что извещениями</w:t>
      </w:r>
    </w:p>
    <w:p>
      <w:pPr>
        <w:pStyle w:val="Style20"/>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установлены дополнительные требования в соответствии ч.2.1 ст.31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П.4 Постановления №2571 установлено, что информацией и документами, подтверждающими соответствие участника закупки дополнительному требованию, установленному в соответствии с ч.2.1 ст.31 Закона о контрактной системе, являются:</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ч.11 ст.48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п.2 ч.10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Style20"/>
        <w:numPr>
          <w:ilvl w:val="0"/>
          <w:numId w:val="5"/>
        </w:numPr>
        <w:tabs>
          <w:tab w:leader="none" w:pos="1032" w:val="lef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члены комиссии по осуществлению закупок:</w:t>
      </w:r>
    </w:p>
    <w:p>
      <w:pPr>
        <w:pStyle w:val="Style20"/>
        <w:tabs>
          <w:tab w:leader="none" w:pos="1124"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а)</w:t>
        <w:tab/>
        <w:t>рассматривают вторые части заявок на участие в закупке, а также информацию и документы, направленные оператором электронной площадки в соответствии с п.2 ч.10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п.4 ч.1 ст.32 Закона о контрактной системе (если такой критерий установлен извещением об осуществлении закупки);</w:t>
      </w:r>
    </w:p>
    <w:p>
      <w:pPr>
        <w:pStyle w:val="Style20"/>
        <w:numPr>
          <w:ilvl w:val="0"/>
          <w:numId w:val="5"/>
        </w:numPr>
        <w:tabs>
          <w:tab w:leader="none" w:pos="1071"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20"/>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20"/>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20"/>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ч.1 ст.31 настоящего Федерального закона, требованиям, установленным в извещении об осуществлении закупки в соответствии с ч.1.1, 2 и 2.1 (при наличии таких требований) ст.31 Закона о контрактной системе;</w:t>
      </w:r>
    </w:p>
    <w:p>
      <w:pPr>
        <w:pStyle w:val="Style20"/>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п.5 ч.1 ст.43 Закона о контрактной системе);</w:t>
      </w:r>
    </w:p>
    <w:p>
      <w:pPr>
        <w:pStyle w:val="Style20"/>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п.5 ч.1 ст.43 настоящего Федерального закона,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20"/>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выявления отнесения участника закупки к организациям, предусмотренным п.4 ст.2 Федерального закона от 4 июня 2018 года </w:t>
      </w:r>
      <w:r>
        <w:rPr>
          <w:lang w:val="en-US" w:eastAsia="en-US" w:bidi="en-US"/>
          <w:w w:val="100"/>
          <w:spacing w:val="0"/>
          <w:color w:val="000000"/>
          <w:position w:val="0"/>
        </w:rPr>
        <w:t xml:space="preserve">N </w:t>
      </w:r>
      <w:r>
        <w:rPr>
          <w:lang w:val="ru-RU" w:eastAsia="ru-RU" w:bidi="ru-RU"/>
          <w:w w:val="100"/>
          <w:spacing w:val="0"/>
          <w:color w:val="000000"/>
          <w:position w:val="0"/>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w:t>
      </w:r>
    </w:p>
    <w:p>
      <w:pPr>
        <w:pStyle w:val="Style20"/>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Российской Федерации в соответствии с указанным пунктом;</w:t>
      </w:r>
    </w:p>
    <w:p>
      <w:pPr>
        <w:pStyle w:val="Style20"/>
        <w:numPr>
          <w:ilvl w:val="0"/>
          <w:numId w:val="7"/>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предусмотренных ч.6 ст.45 Закона о контрактной системе;</w:t>
      </w:r>
    </w:p>
    <w:p>
      <w:pPr>
        <w:pStyle w:val="Style20"/>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20"/>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указания информации о предложении участника закупки, предусмотренном п.3 или п.4 ч.1 ст.43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Управления отмечает, что, согласно извещениям электронных конкурсов, Заказчиком устанавливались дополнительные требования в соответствии с ч.2.1 ст.31 Закона о контрактной системе, при этом дополнительные требования в соответствии с ч.2 ст.31 Закона о контрактной системе и Приложением Постановления №2571 Заказчиком не устанавливались, ввиду чего участникам закупок представлялось возможным представить контракт или договор соответствующий п.4 Постановления №2571, т.е. 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 при этом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Заявителя пояснил, что, согласно требованиям Постановления №2571, участникам закупочных процедур, в подтверждение соответствия дополнительным требованиям, предусмотренным ч.2 ст.31 Закона о контрактной системе, необходимо представить контракт(договор) сопоставимый с предметом обжалуемых закупочных процедур, однако, по мнению представителя Заявителя, такие контракты (договоры) ООО «КБ услуг» в составе заявок не представило, ввиду чего конкурсным комиссиям Заказчика необходимо было отклонить заявку ООО «КБ услуг» на основании несоответствия представленных контрактов(договоров) предметам конкурсов.</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Закон о контрактной системе, а также Поставление №2571, не устанавливают специальных требований к предмету представляемого контракта, в случае представления контракта в качестве подтверждения дополнительным требованиям, установленным в соответствии с ч.2.1 ст.31 Закона о контрактной системе, ввиду чего отклонение заявок участников закупочных процедур на основании несоответствия представленных контрактов(договоров) предметам конкурсов не</w:t>
      </w:r>
    </w:p>
    <w:p>
      <w:pPr>
        <w:pStyle w:val="Style20"/>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представлялось возможным.</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что довод Заявителя о несоответствии представленных ООО «КБ услуг» контрактов(договоров) предмету проводимых конкурсов, а также Приложению, не на</w:t>
      </w:r>
      <w:r>
        <w:rPr>
          <w:rStyle w:val="CharStyle28"/>
        </w:rPr>
        <w:t>шл</w:t>
      </w:r>
      <w:r>
        <w:rPr>
          <w:lang w:val="ru-RU" w:eastAsia="ru-RU" w:bidi="ru-RU"/>
          <w:w w:val="100"/>
          <w:spacing w:val="0"/>
          <w:color w:val="000000"/>
          <w:position w:val="0"/>
        </w:rPr>
        <w:t>и своего подтверждения, так как в подтверждение соответствия дополнительным требованиям участникам закупки представлялось возможным представить контракт(договор) вне зависимости от предмета проводимых закупочных процедур.</w:t>
      </w:r>
    </w:p>
    <w:p>
      <w:pPr>
        <w:pStyle w:val="Style20"/>
        <w:numPr>
          <w:ilvl w:val="0"/>
          <w:numId w:val="1"/>
        </w:numPr>
        <w:tabs>
          <w:tab w:leader="none" w:pos="1029"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Также в составе жалоб Заявитель указывает, что конкурсными комиссиями Заказчика при оценке заявок участников закупочных процедур по критериям неправомерно не применялись нормы п.36 Положения об оценке заявок на участие в закупке товаров, работ, услуг для обеспечения государственных и муниципальных нужд (далее — Положение) утвержденного абз.1 п.1 Постановления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№2604).</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ч.6 ст.106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п.3 и п.4 ч.1 ст.32 Закона о контрактной системе критериями оценки этих заявок, окончательных предложений.</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предмет жалоб о присвоении результатов оценки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относится к компетенции Комиссии Управления, и обжаловать такие результаты оценки заявок возможно исключительно в судебном порядке.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тем Комиссией Управления проводится проверка действий конкурсных комиссий Заказчика в части применения установленного в извещениях порядков оценки заявок на участие в конкурсах.</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П.4 ч.2 ст.42 Закона о контрактной системе установлено, что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pPr>
        <w:pStyle w:val="Style20"/>
        <w:numPr>
          <w:ilvl w:val="0"/>
          <w:numId w:val="9"/>
        </w:numPr>
        <w:tabs>
          <w:tab w:leader="none" w:pos="1210"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ст.32 Закона о контрактной системе установлено, что для оценки заявок участников закупки заказчик использует следующие критерии:</w:t>
      </w:r>
    </w:p>
    <w:p>
      <w:pPr>
        <w:pStyle w:val="Style20"/>
        <w:numPr>
          <w:ilvl w:val="0"/>
          <w:numId w:val="11"/>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цена контракта, сумма цен единиц товара, работы, услуги;</w:t>
      </w:r>
    </w:p>
    <w:p>
      <w:pPr>
        <w:pStyle w:val="Style20"/>
        <w:numPr>
          <w:ilvl w:val="0"/>
          <w:numId w:val="1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20"/>
        <w:numPr>
          <w:ilvl w:val="0"/>
          <w:numId w:val="1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20"/>
        <w:numPr>
          <w:ilvl w:val="0"/>
          <w:numId w:val="11"/>
        </w:numPr>
        <w:tabs>
          <w:tab w:leader="none" w:pos="1062"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информационными картами открытых конкурсов оценка заявок производится в соответствии с Постановлением №2604.</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п.36 Положения при осуществлении закупки, по результатам проведения которой заключается контракт на выполнение научно</w:t>
        <w:softHyphen/>
        <w:t xml:space="preserve">исследовательских, опытно-конструкторских или технологических работ, оказание консультационных услуг, в документе, предусмотренном приложением №1 к Положению, </w:t>
      </w:r>
      <w:r>
        <w:rPr>
          <w:rStyle w:val="CharStyle29"/>
        </w:rPr>
        <w:t>может быть</w:t>
      </w:r>
      <w:r>
        <w:rPr>
          <w:lang w:val="ru-RU" w:eastAsia="ru-RU" w:bidi="ru-RU"/>
          <w:w w:val="100"/>
          <w:spacing w:val="0"/>
          <w:color w:val="000000"/>
          <w:position w:val="0"/>
        </w:rPr>
        <w:t xml:space="preserve"> установлено положение о применении сниженной величины значимости критерия оценки, предусмотренного пп.«а» п.3 Положения, в размере 10 процентов для оценки заявки участника закупки, предложившего цену контракта, которая на 25 и более процентов ниже начальной (максимальной) цены контракта, либо предложившего сумму цен единиц товара, работы, услуги, которая на 25 и более процентов ниже начальной суммы цен указанных единиц. При этом разница между величиной значимости критерия оценки, предусмотренного пп.«а» п.3 Положения, и предусмотренной настоящим пунктом сниженной величиной не используется при оценке такой заявки (в том числе не суммируется с величинами значимости иных применяемых критериев оценки).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этим Комиссией Управления определено, что в установленных Заказчиком порядках оценках заявок участников закупочных процедур положение о применении сниженной величины значимости критерия оценки, предусмотренного пп.«а» п.3 Положения, предусмотренное п.36 Положения, не устанавливалось.</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что данные доводы жалоб Заявителя не нашли своего подтверждения, так как установленные порядками оценки положения не предусматривает снижения величины значимости критерия оценки, предусмотренного пп.«а» п.3 Положения, в размере 10 процентов для оценки заявки участника закупки, предложившего цену контракта, которая на 25 и более процентов ниже начальной (максимальной) цены контракта, либо предложившего сумму цен единиц товара, работы, услуги, которая на 25 и более процентов ниже начальной суммы цен указанных единиц.</w:t>
      </w:r>
    </w:p>
    <w:p>
      <w:pPr>
        <w:pStyle w:val="Style20"/>
        <w:numPr>
          <w:ilvl w:val="0"/>
          <w:numId w:val="1"/>
        </w:numPr>
        <w:tabs>
          <w:tab w:leader="none" w:pos="1034"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Также в составе жалобы по закупочной процедуре №0373200557922000311 Заявитель указывает, что в составе заявки участника закупки ООО «КБ услуг» представлены недостоверные сведения об исполненных контрактах по детализирующему показателю «Наличие у участников закупки опыта работы, связанного с предметом контракта»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ввиду чего конкурсной комиссии Заказчика надлежало отклонить заявку ООО «КБ услуг» на основании представления недостоверных сведений в составе заявки на участие в конкурсе.</w:t>
      </w:r>
    </w:p>
    <w:p>
      <w:pPr>
        <w:pStyle w:val="Style20"/>
        <w:tabs>
          <w:tab w:leader="none" w:pos="8070" w:val="center"/>
          <w:tab w:leader="none" w:pos="9116"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этим Заявитель в составе жалобы отмечает, что ООО «КБ услуг» не могло быть исполнителем, соисполнителем, либо оказывать услуги в качестве субподрядной организации по договору 08.11.2021</w:t>
        <w:tab/>
        <w:t>№04/262-21,</w:t>
        <w:tab/>
        <w:t>так как</w:t>
      </w:r>
    </w:p>
    <w:p>
      <w:pPr>
        <w:pStyle w:val="Style20"/>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исполнителем по данному договору являлось ООО «Контур», а единственным субподрядчиком по данному договору являлось ООО «СО «Антитеррор».</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Кроме того Заявитель отмечает, что, согласно открытым источникам, что ООО «КБ услуг» не может обладать заявленным опытом оказания услуг, так как выручка организации, согласно веб сайту </w:t>
      </w:r>
      <w:r>
        <w:rPr>
          <w:lang w:val="en-US" w:eastAsia="en-US" w:bidi="en-US"/>
          <w:w w:val="100"/>
          <w:spacing w:val="0"/>
          <w:color w:val="000000"/>
          <w:position w:val="0"/>
        </w:rPr>
        <w:t xml:space="preserve">nalog.ru, </w:t>
      </w:r>
      <w:r>
        <w:rPr>
          <w:lang w:val="ru-RU" w:eastAsia="ru-RU" w:bidi="ru-RU"/>
          <w:w w:val="100"/>
          <w:spacing w:val="0"/>
          <w:color w:val="000000"/>
          <w:position w:val="0"/>
        </w:rPr>
        <w:t>как за 2021, так и за 2020 год составила менее 26 млн. руб., также сведения о заключенных на обозначенную контрактах отсутствуют в Единой информационной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ч.2 ст.48 Закона о контрактной системе заявка на участие в закупке состоит из трех частей, Заявка на участие в закупке состоит из трех частей. Первая часть должна содержать информацию и документы, предусмотренные подпунктами «а», «б» и «г» п.2 ч.1 ст.43 Закона о контрактной системе. Первая часть также может содержать информацию и документы, предусмотренные подпунктом «д» п.2</w:t>
      </w:r>
    </w:p>
    <w:p>
      <w:pPr>
        <w:pStyle w:val="Style20"/>
        <w:numPr>
          <w:ilvl w:val="0"/>
          <w:numId w:val="13"/>
        </w:numPr>
        <w:tabs>
          <w:tab w:leader="none" w:pos="477"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ст.43 акона о контрактной системе, вторая часть должна содержать информацию и документы, предусмотренные пп.«м» - «р» п.1, пп «в» п.2, п.5 ч.1 ст.43 Закона о контрактной системе. Третья часть должна содержать информацию, предусмотренную п.3 или п.4 ч.1 ст.43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пп.«р» п.1 ч.1 ст.43 Закона о контрактной системе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абз.1 п.2 Положения «оценка заявок» - действия членов комиссии по осуществлению закупок по присвоению в случаях, предусмотренных</w:t>
      </w:r>
    </w:p>
    <w:p>
      <w:pPr>
        <w:pStyle w:val="Style20"/>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20"/>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а) наличие у участников закупки финансовых ресурсов;</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наличие у участников закупки на праве собственности или ином законном основании оборудования и других материальных ресурсов;</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наличие у участников закупки опыта поставки товара, выполнения работы, оказания услуги, связанного с предметом контракта;</w:t>
      </w:r>
    </w:p>
    <w:p>
      <w:pPr>
        <w:pStyle w:val="Style20"/>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г) наличие у участников закупки деловой репутации;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д) наличие у участников закупки специалистов и иных работников определенного уровня квалификации.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пп. «а» п.28 Положения для оценки заявок по показателям оценки, в случае применения показателя оценки, предусмотренного пп.«в» п.24 Положения применяются один или несколько из следующих детализирующих показателей оценки:</w:t>
      </w:r>
    </w:p>
    <w:p>
      <w:pPr>
        <w:pStyle w:val="Style20"/>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общая цена исполненных участником закупки договоров;</w:t>
      </w:r>
    </w:p>
    <w:p>
      <w:pPr>
        <w:pStyle w:val="Style20"/>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общее количество исполненных участником закупки договоров;</w:t>
      </w:r>
    </w:p>
    <w:p>
      <w:pPr>
        <w:pStyle w:val="Style20"/>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наибольшая цена одного из исполненных участником закупки договоров.</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определено, что согласно извещению о проведении открытого конкурса в электронной форме от 03.06.2022 №ИИ1 Заказчиком установлен, в том числе следующий порядок оценки заявок участников закупки по детализирующему показателю «Наличие у участников закупки опыта работы, связанного с предметом контракта»:</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«Оценивается предложение участника об объемах исполненных участником контрактов (договоров) за последние 5 лет, предшествующие дате подачи заявки участником на участие в настоящей закупке, без нарушений сроков и иных нарушений условий контракта (договора) по вине участника (оценивается суммарный объем оказанных услуг сопоставимого характера и объема, исчисляемый в рублях).</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Под услугами сопоставимого характера и объема понимается оказание услуг по разработке паспортов обеспечения транспортной безопасности объектов транспортной инфраструктуры.</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Документами, подтверждающими наличие у участника закупки опыта поставки товара, выполнения работы, оказания услуги, связанного с предметом контракта является исполненный договор (договоры), акт (акты) приемки оказанных услуг, составленные при исполнении такого договора (договоров);</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 оценке принимается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Последний акт, составленный при исполнении договора должен быть подписан не ранее чем за 5 лет до даты окончания срока подачи заявок;</w:t>
      </w:r>
    </w:p>
    <w:p>
      <w:pPr>
        <w:pStyle w:val="Style20"/>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44-ФЗ;</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 оценке принимаются документы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Каждый контракт/договор должен быть исполнен участником закупки в полном объеме в соответствии с условиями, установленными в таком контракте/договоре.</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Оценке не подлежат контракты/договоры, работы по которым продолжаются и/или не выполнены (являются незавершенными).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Оцениваются представленные участником закупки договоры, которые приложены в составе заявки и указаны в рекомендованной форме «Квалификация участников закупки» (приложение 1 к критериям оценки)».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в составе заявки на участие в конкурсе ООО «КБ услуг» представлен договор № В-234/21 от 12.11.2021 между ООО «Контур» и ООО «КБ услуг» на оказание услуг по разработке, утверждению и направлению в Федеральное дорожное агентство паспортов обеспечения транспортной безопасности объектов транспортной инфраструктуры дорожного хозяйства не подлежащих категорированию, а также акт к договору субподряда №В-234/21 от 12.11.2021 указывающий, что стоимость оказанных по договору услуг составляет 34 502 500 руб.</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заявка участника закупки ООО «КБ услуг» оценивалась конкурный комиссией Заказчика в соответствии с установленным порядком оценки, при этом оснований сомневаться в достоверности представленных сведений у конкурсной комиссии Заказчика не имелось.</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Управления отмечает, что установленным порядком оценки участникам закупки представлялось возможным представить договора и контракты заключенные как в рамках Закона о контрактной системе, Федерального закона от 18.07.2011 г. № 223- ФЗ «О закупках товаров, работ, услуг отдельными видами юридических лиц», так и иные контракты/договоры гражданско-правового характера, данные которых в открытом доступе в обязательном порядке не размещаются, кроме того, данные открытых источников о бухгалтерской отчетности, приведенные Заявителем в составе жалобы, не содержат информацию о бухгалтерской отчетности ООО «КБ услуг» за 2022 год.</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этим, под недостоверными сведениями следует понимать сведения, не соответствующие действительности. В свою очередь, исходя из правовой позиции Верховного Суда Российской Федерации, изложенной в постановлении от 24.02.2005 № 3 «О судебной практике по делам о защите чести и достоинства граждан, а также деловой репутации граждан и юридических лиц», под не соответствующими действительности сведениями понимаются утверждения о фактах или событиях, которые не имели места в реальности во время, к которому относятся оспариваемые сведения (п. 7).</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Кроме того, предоставленное заказчику право отклонить поданную заявку в случае обнаружения в ней недостоверных сведений свидетельствует о том, что располагать такой информацией заказчик должен непосредственно на момент принятия соответствующего решения, причем располагать именно доказательствами такой недостоверности, но не руководствоваться предположениями.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При этом в целях соблюдения баланса частных и публичных интересов (на необходимость соблюдения которого указал Конституционный Суд Российской Федерации в постановлении от 29.03.2011 № 2-П) и принципа стабильности публичных правоотношений, но также и принципов добросовестной реализации прав и законных интересов (ч. 3 ст. 1 ГК РФ), недопустимости извлечения преимуществ из своего незаконного или недобросовестного поведения (ч. 4 ст. 1 ГК РФ), недопустимости злоупотребления правом (ч. 1 ст. 10 ГК РФ) для принятия решения об отклонении заявки участника заказчику необходимо располагать письменным документальным подтверждением наличия в составе заявки такого участника недостоверной информации.</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как следует из материалов дела, каких-либо оснований сомневаться в достоверности представленных в них сведений в контексте ч. 5 ст. 10 Гражданского кодекса Российской Федерации (ГК РФ) (в силу которой добросовестность участников гражданских правоотношений и разумность их действий предполагаются) у Заказчика не имелось, неопровержимыми доказательствами недостоверности таких сведений последний не располагал.</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Доказательств обратного представителем Заявителя на заседании Комиссии Управления, а также Заявителем в составе жалобы, не представлено.</w:t>
      </w:r>
    </w:p>
    <w:p>
      <w:pPr>
        <w:pStyle w:val="Style20"/>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Также Комиссия Управления отмечает, что информационное письмо ООО «Контур» указывающее на факт заключения договора субподряда по договору №04/262-21 от 08.11.2021 исключительно с ООО «СО «Антитеррор» не свидетельствует о невозможности заключения ООО «Контур» с ООО «КБ услуг» субподрядного договора по иным контрактам(договорам), в том числе по договору №В-234/21 от 12.11.2021.</w:t>
      </w:r>
    </w:p>
    <w:p>
      <w:pPr>
        <w:pStyle w:val="Style20"/>
        <w:widowControl w:val="0"/>
        <w:keepNext w:val="0"/>
        <w:keepLines w:val="0"/>
        <w:shd w:val="clear" w:color="auto" w:fill="auto"/>
        <w:bidi w:val="0"/>
        <w:jc w:val="both"/>
        <w:spacing w:before="0" w:after="0" w:line="322" w:lineRule="exact"/>
        <w:ind w:left="20" w:right="20" w:firstLine="680"/>
        <w:sectPr>
          <w:pgSz w:w="11909" w:h="16838"/>
          <w:pgMar w:top="1259" w:left="851" w:right="843" w:bottom="1129" w:header="0" w:footer="3" w:gutter="0"/>
          <w:rtlGutter w:val="0"/>
          <w:cols w:space="720"/>
          <w:noEndnote/>
          <w:docGrid w:linePitch="360"/>
        </w:sectPr>
      </w:pPr>
      <w:r>
        <w:rPr>
          <w:lang w:val="ru-RU" w:eastAsia="ru-RU" w:bidi="ru-RU"/>
          <w:w w:val="100"/>
          <w:spacing w:val="0"/>
          <w:color w:val="000000"/>
          <w:position w:val="0"/>
        </w:rPr>
        <w:t>На основании вышеизложенного у Комиссии Управления отсутствуют правовые основания считать конкурсную Комиссию заказчика нарушившей Закон о контрактной системе.</w:t>
      </w:r>
    </w:p>
    <w:p>
      <w:pPr>
        <w:pStyle w:val="Style20"/>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Таким образом, Комиссия Управления приходит к выводу, что довод Заявителя не нашел своего подтверждения и является необоснованным.</w:t>
      </w:r>
    </w:p>
    <w:p>
      <w:pPr>
        <w:pStyle w:val="Style20"/>
        <w:widowControl w:val="0"/>
        <w:keepNext w:val="0"/>
        <w:keepLines w:val="0"/>
        <w:shd w:val="clear" w:color="auto" w:fill="auto"/>
        <w:bidi w:val="0"/>
        <w:jc w:val="both"/>
        <w:spacing w:before="0" w:after="349" w:line="322" w:lineRule="exact"/>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24"/>
        <w:widowControl w:val="0"/>
        <w:keepNext w:val="0"/>
        <w:keepLines w:val="0"/>
        <w:shd w:val="clear" w:color="auto" w:fill="auto"/>
        <w:bidi w:val="0"/>
        <w:jc w:val="left"/>
        <w:spacing w:before="0" w:after="276" w:line="260" w:lineRule="exact"/>
        <w:ind w:left="4760" w:right="0" w:firstLine="0"/>
      </w:pPr>
      <w:r>
        <w:rPr>
          <w:lang w:val="ru-RU" w:eastAsia="ru-RU" w:bidi="ru-RU"/>
          <w:w w:val="100"/>
          <w:spacing w:val="0"/>
          <w:color w:val="000000"/>
          <w:position w:val="0"/>
        </w:rPr>
        <w:t>РЕШИЛА:</w:t>
      </w:r>
    </w:p>
    <w:p>
      <w:pPr>
        <w:pStyle w:val="Style20"/>
        <w:numPr>
          <w:ilvl w:val="0"/>
          <w:numId w:val="15"/>
        </w:numPr>
        <w:widowControl w:val="0"/>
        <w:keepNext w:val="0"/>
        <w:keepLines w:val="0"/>
        <w:shd w:val="clear" w:color="auto" w:fill="auto"/>
        <w:bidi w:val="0"/>
        <w:jc w:val="both"/>
        <w:spacing w:before="0" w:after="0" w:line="355" w:lineRule="exact"/>
        <w:ind w:left="0" w:right="20" w:firstLine="680"/>
      </w:pPr>
      <w:r>
        <w:rPr>
          <w:lang w:val="ru-RU" w:eastAsia="ru-RU" w:bidi="ru-RU"/>
          <w:w w:val="100"/>
          <w:spacing w:val="0"/>
          <w:color w:val="000000"/>
          <w:position w:val="0"/>
        </w:rPr>
        <w:t xml:space="preserve"> Признать жалобы ООО «СО «Антитеррор» на действия конкурсных комиссий ГБУ «Гормост» необоснованными.</w:t>
      </w:r>
    </w:p>
    <w:p>
      <w:pPr>
        <w:pStyle w:val="Style20"/>
        <w:numPr>
          <w:ilvl w:val="0"/>
          <w:numId w:val="15"/>
        </w:numPr>
        <w:widowControl w:val="0"/>
        <w:keepNext w:val="0"/>
        <w:keepLines w:val="0"/>
        <w:shd w:val="clear" w:color="auto" w:fill="auto"/>
        <w:bidi w:val="0"/>
        <w:jc w:val="both"/>
        <w:spacing w:before="0" w:after="300" w:line="355" w:lineRule="exact"/>
        <w:ind w:left="0" w:right="20" w:firstLine="68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конкурсов, наложенные письмом Московского УФАС России (исх. №ЕИ/33740/22 от 24.06.2022).</w:t>
      </w:r>
    </w:p>
    <w:p>
      <w:pPr>
        <w:pStyle w:val="Style20"/>
        <w:widowControl w:val="0"/>
        <w:keepNext w:val="0"/>
        <w:keepLines w:val="0"/>
        <w:shd w:val="clear" w:color="auto" w:fill="auto"/>
        <w:bidi w:val="0"/>
        <w:jc w:val="both"/>
        <w:spacing w:before="0" w:after="0" w:line="355" w:lineRule="exact"/>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20"/>
        <w:framePr w:h="250" w:vSpace="326" w:wrap="around" w:vAnchor="text" w:hAnchor="margin" w:x="8481" w:y="606"/>
        <w:widowControl w:val="0"/>
        <w:keepNext w:val="0"/>
        <w:keepLines w:val="0"/>
        <w:shd w:val="clear" w:color="auto" w:fill="auto"/>
        <w:bidi w:val="0"/>
        <w:jc w:val="left"/>
        <w:spacing w:before="0" w:after="0" w:line="240" w:lineRule="exact"/>
        <w:ind w:left="100" w:right="0" w:firstLine="0"/>
      </w:pPr>
      <w:r>
        <w:rPr>
          <w:rStyle w:val="CharStyle30"/>
          <w:spacing w:val="0"/>
        </w:rPr>
        <w:t>С.И. Казарин</w:t>
      </w:r>
    </w:p>
    <w:p>
      <w:pPr>
        <w:pStyle w:val="Style20"/>
        <w:widowControl w:val="0"/>
        <w:keepNext w:val="0"/>
        <w:keepLines w:val="0"/>
        <w:shd w:val="clear" w:color="auto" w:fill="auto"/>
        <w:bidi w:val="0"/>
        <w:jc w:val="left"/>
        <w:spacing w:before="0" w:after="352" w:line="260" w:lineRule="exact"/>
        <w:ind w:left="0" w:right="0" w:firstLine="0"/>
      </w:pPr>
      <w:r>
        <w:rPr>
          <w:lang w:val="ru-RU" w:eastAsia="ru-RU" w:bidi="ru-RU"/>
          <w:w w:val="100"/>
          <w:spacing w:val="0"/>
          <w:color w:val="000000"/>
          <w:position w:val="0"/>
        </w:rPr>
        <w:t>гл. 24 АПК РФ.</w:t>
      </w:r>
    </w:p>
    <w:p>
      <w:pPr>
        <w:pStyle w:val="Style20"/>
        <w:widowControl w:val="0"/>
        <w:keepNext w:val="0"/>
        <w:keepLines w:val="0"/>
        <w:shd w:val="clear" w:color="auto" w:fill="auto"/>
        <w:bidi w:val="0"/>
        <w:jc w:val="left"/>
        <w:spacing w:before="0" w:after="237" w:line="260" w:lineRule="exact"/>
        <w:ind w:left="0" w:right="0" w:firstLine="0"/>
      </w:pPr>
      <w:r>
        <w:rPr>
          <w:lang w:val="ru-RU" w:eastAsia="ru-RU" w:bidi="ru-RU"/>
          <w:w w:val="100"/>
          <w:spacing w:val="0"/>
          <w:color w:val="000000"/>
          <w:position w:val="0"/>
        </w:rPr>
        <w:t>Председательствующий</w:t>
      </w:r>
    </w:p>
    <w:p>
      <w:pPr>
        <w:pStyle w:val="Style20"/>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30"/>
          <w:spacing w:val="0"/>
        </w:rPr>
        <w:t>Члены Комиссии</w:t>
      </w:r>
    </w:p>
    <w:p>
      <w:pPr>
        <w:pStyle w:val="Style20"/>
        <w:framePr w:h="245" w:wrap="notBeside" w:vAnchor="text" w:hAnchor="margin" w:x="8371" w:y="577"/>
        <w:widowControl w:val="0"/>
        <w:keepNext w:val="0"/>
        <w:keepLines w:val="0"/>
        <w:shd w:val="clear" w:color="auto" w:fill="auto"/>
        <w:bidi w:val="0"/>
        <w:jc w:val="left"/>
        <w:spacing w:before="0" w:after="0" w:line="240" w:lineRule="exact"/>
        <w:ind w:left="100" w:right="0" w:firstLine="0"/>
      </w:pPr>
      <w:r>
        <w:rPr>
          <w:rStyle w:val="CharStyle30"/>
          <w:spacing w:val="0"/>
        </w:rPr>
        <w:t>М.О. Мацнева</w:t>
      </w:r>
    </w:p>
    <w:p>
      <w:pPr>
        <w:pStyle w:val="Style20"/>
        <w:widowControl w:val="0"/>
        <w:keepNext w:val="0"/>
        <w:keepLines w:val="0"/>
        <w:shd w:val="clear" w:color="auto" w:fill="auto"/>
        <w:bidi w:val="0"/>
        <w:jc w:val="right"/>
        <w:spacing w:before="0" w:after="6204" w:line="260" w:lineRule="exact"/>
        <w:ind w:left="0" w:right="20" w:firstLine="0"/>
      </w:pPr>
      <w:r>
        <w:rPr>
          <w:lang w:val="ru-RU" w:eastAsia="ru-RU" w:bidi="ru-RU"/>
          <w:w w:val="100"/>
          <w:spacing w:val="0"/>
          <w:color w:val="000000"/>
          <w:position w:val="0"/>
        </w:rPr>
        <w:t>А.А. Матюшенко</w:t>
      </w:r>
    </w:p>
    <w:p>
      <w:pPr>
        <w:pStyle w:val="Style10"/>
        <w:widowControl w:val="0"/>
        <w:keepNext w:val="0"/>
        <w:keepLines w:val="0"/>
        <w:shd w:val="clear" w:color="auto" w:fill="auto"/>
        <w:bidi w:val="0"/>
        <w:jc w:val="left"/>
        <w:spacing w:before="0" w:after="0" w:line="754" w:lineRule="exact"/>
        <w:ind w:left="0" w:right="5600" w:firstLine="0"/>
      </w:pPr>
      <w:r>
        <w:rPr>
          <w:lang w:val="ru-RU" w:eastAsia="ru-RU" w:bidi="ru-RU"/>
          <w:w w:val="100"/>
          <w:spacing w:val="0"/>
          <w:color w:val="000000"/>
          <w:position w:val="0"/>
        </w:rPr>
        <w:t xml:space="preserve">Исп. Матюшенко А.А., 8(495) 784-75-05 </w:t>
      </w:r>
      <w:r>
        <w:rPr>
          <w:rStyle w:val="CharStyle31"/>
        </w:rPr>
        <w:t>2022-37872</w:t>
      </w:r>
    </w:p>
    <w:sectPr>
      <w:headerReference w:type="default" r:id="rId12"/>
      <w:footerReference w:type="default" r:id="rId13"/>
      <w:footerReference w:type="first" r:id="rId14"/>
      <w:pgSz w:w="11909" w:h="16838"/>
      <w:pgMar w:top="885" w:left="849" w:right="849" w:bottom="37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5pt;margin-top:795.7pt;width:56.65pt;height:7.9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2022-37872</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05pt;margin-top:805.75pt;width:57.1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2022-37872</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3.6pt;margin-top:37.9pt;width:10.1pt;height:7.7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293.25pt;margin-top:19.75pt;width:9.35pt;height:7.7pt;z-index:-188744061;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val="0"/>
      <w:bCs w:val="0"/>
      <w:i w:val="0"/>
      <w:iCs w:val="0"/>
      <w:u w:val="none"/>
      <w:strike w:val="0"/>
      <w:smallCaps w:val="0"/>
      <w:sz w:val="21"/>
      <w:szCs w:val="21"/>
      <w:rFonts w:ascii="Segoe UI" w:eastAsia="Segoe UI" w:hAnsi="Segoe UI" w:cs="Segoe UI"/>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7">
    <w:name w:val="Заголовок №1_"/>
    <w:basedOn w:val="DefaultParagraphFont"/>
    <w:link w:val="Style26"/>
    <w:rPr>
      <w:b/>
      <w:bCs/>
      <w:i w:val="0"/>
      <w:iCs w:val="0"/>
      <w:u w:val="none"/>
      <w:strike w:val="0"/>
      <w:smallCaps w:val="0"/>
      <w:sz w:val="26"/>
      <w:szCs w:val="26"/>
      <w:rFonts w:ascii="Times New Roman" w:eastAsia="Times New Roman" w:hAnsi="Times New Roman" w:cs="Times New Roman"/>
    </w:rPr>
  </w:style>
  <w:style w:type="character" w:customStyle="1" w:styleId="CharStyle28">
    <w:name w:val="Основной текст"/>
    <w:basedOn w:val="CharStyle21"/>
    <w:rPr>
      <w:lang w:val="ru-RU" w:eastAsia="ru-RU" w:bidi="ru-RU"/>
      <w:u w:val="single"/>
      <w:w w:val="100"/>
      <w:spacing w:val="0"/>
      <w:color w:val="000000"/>
      <w:position w:val="0"/>
    </w:rPr>
  </w:style>
  <w:style w:type="character" w:customStyle="1" w:styleId="CharStyle29">
    <w:name w:val="Основной текст + Курсив"/>
    <w:basedOn w:val="CharStyle21"/>
    <w:rPr>
      <w:lang w:val="ru-RU" w:eastAsia="ru-RU" w:bidi="ru-RU"/>
      <w:i/>
      <w:iCs/>
      <w:w w:val="100"/>
      <w:spacing w:val="0"/>
      <w:color w:val="000000"/>
      <w:position w:val="0"/>
    </w:rPr>
  </w:style>
  <w:style w:type="character" w:customStyle="1" w:styleId="CharStyle30">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31">
    <w:name w:val="Основной текст (2) + 11 pt,Полужирный"/>
    <w:basedOn w:val="CharStyle11"/>
    <w:rPr>
      <w:lang w:val="ru-RU" w:eastAsia="ru-RU" w:bidi="ru-RU"/>
      <w:b/>
      <w:bCs/>
      <w:sz w:val="22"/>
      <w:szCs w:val="22"/>
      <w:w w:val="100"/>
      <w:spacing w:val="0"/>
      <w:color w:val="000000"/>
      <w:position w:val="0"/>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val="0"/>
      <w:bCs w:val="0"/>
      <w:i w:val="0"/>
      <w:iCs w:val="0"/>
      <w:u w:val="none"/>
      <w:strike w:val="0"/>
      <w:smallCaps w:val="0"/>
      <w:sz w:val="21"/>
      <w:szCs w:val="21"/>
      <w:rFonts w:ascii="Segoe UI" w:eastAsia="Segoe UI" w:hAnsi="Segoe UI" w:cs="Segoe UI"/>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26">
    <w:name w:val="Заголовок №1"/>
    <w:basedOn w:val="Normal"/>
    <w:link w:val="CharStyle27"/>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footer" Target="footer4.xml"/></Relationships>
</file>