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/>
        <w:keepLines/>
        <w:shd w:val="clear" w:color="auto" w:fill="auto"/>
        <w:bidi w:val="0"/>
        <w:spacing w:before="0" w:after="352" w:line="380" w:lineRule="exact"/>
        <w:ind w:left="0" w:right="0" w:firstLine="0"/>
      </w:pPr>
      <w:bookmarkStart w:id="0" w:name="bookmark0"/>
      <w:r>
        <w:rPr>
          <w:rStyle w:val="CharStyle5"/>
          <w:i/>
          <w:iCs/>
        </w:rPr>
        <w:t>чш*</w:t>
      </w:r>
      <w:bookmarkEnd w:id="0"/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17"/>
        <w:ind w:left="0" w:right="0" w:firstLine="0"/>
      </w:pPr>
      <w:r>
        <w:rPr>
          <w:rStyle w:val="CharStyle8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38" w:line="284" w:lineRule="exact"/>
        <w:ind w:left="0" w:right="0" w:firstLine="0"/>
      </w:pPr>
      <w:r>
        <w:rPr>
          <w:rStyle w:val="CharStyle8"/>
          <w:b/>
          <w:bCs/>
        </w:rPr>
        <w:t>УПРАВЛЕНИЕ Федеральной антимонопольной службы по Красноярскому краю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22"/>
        <w:ind w:left="0" w:right="0" w:firstLine="0"/>
      </w:pPr>
      <w:r>
        <w:rPr>
          <w:rStyle w:val="CharStyle11"/>
        </w:rPr>
        <w:t xml:space="preserve">пр. Мира, 81 д, г. Красноярск, 660017 тел. (391) 211 -00-00, факс (319) 211 -01 -14 </w:t>
      </w:r>
      <w:r>
        <w:rPr>
          <w:rStyle w:val="CharStyle11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"mailto:to24@fas.gov.ru"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to24@fas.gov.ru</w:t>
      </w:r>
      <w:r>
        <w:fldChar w:fldCharType="end"/>
      </w:r>
    </w:p>
    <w:p>
      <w:pPr>
        <w:pStyle w:val="Style12"/>
        <w:tabs>
          <w:tab w:leader="underscore" w:pos="4096" w:val="left"/>
        </w:tabs>
        <w:widowControl w:val="0"/>
        <w:keepNext w:val="0"/>
        <w:keepLines w:val="0"/>
        <w:shd w:val="clear" w:color="auto" w:fill="auto"/>
        <w:bidi w:val="0"/>
        <w:spacing w:before="0" w:after="119" w:line="210" w:lineRule="exact"/>
        <w:ind w:left="460" w:right="0" w:firstLine="0"/>
      </w:pPr>
      <w:r>
        <w:rPr>
          <w:rStyle w:val="CharStyle14"/>
          <w:i/>
          <w:iCs/>
        </w:rPr>
        <w:t>04.0%.</w:t>
      </w:r>
      <w:r>
        <w:rPr>
          <w:rStyle w:val="CharStyle14"/>
          <w:lang w:val="en-US" w:eastAsia="en-US" w:bidi="en-US"/>
          <w:i/>
          <w:iCs/>
        </w:rPr>
        <w:t>hOll-</w:t>
      </w:r>
      <w:r>
        <w:rPr>
          <w:rStyle w:val="CharStyle15"/>
          <w:i w:val="0"/>
          <w:iCs w:val="0"/>
        </w:rPr>
        <w:t xml:space="preserve"> №</w:t>
      </w:r>
      <w:r>
        <w:rPr>
          <w:rStyle w:val="CharStyle16"/>
          <w:i w:val="0"/>
          <w:iCs w:val="0"/>
        </w:rPr>
        <w:t>'f0V*2-</w:t>
      </w:r>
      <w:r>
        <w:rPr>
          <w:rStyle w:val="CharStyle15"/>
          <w:lang w:val="ru-RU" w:eastAsia="ru-RU" w:bidi="ru-RU"/>
          <w:i w:val="0"/>
          <w:iCs w:val="0"/>
        </w:rPr>
        <w:tab/>
      </w:r>
    </w:p>
    <w:p>
      <w:pPr>
        <w:pStyle w:val="Style17"/>
        <w:tabs>
          <w:tab w:leader="underscore" w:pos="2343" w:val="center"/>
          <w:tab w:leader="underscore" w:pos="3336" w:val="left"/>
        </w:tabs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460" w:right="0" w:firstLine="0"/>
      </w:pPr>
      <w:r>
        <w:rPr>
          <w:rStyle w:val="CharStyle19"/>
        </w:rPr>
        <w:t>На №</w:t>
        <w:tab/>
        <w:t>от</w:t>
        <w:tab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«Терамо»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180" w:line="230" w:lineRule="exact"/>
        <w:ind w:left="20" w:right="10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Ленина, д. 189, корп. 1, кв. 77, г. Киров, 610007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183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КГБУЗ «Красноярский краевой центр охраны материнства и детства» ул. Академика Кнренского, д. 2а, г. Красноярск. 660074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177" w:line="22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Агентство государственного заказа Красноярского края пр-кт Мира, д. 10, оф. 53, г. Красноярск, 660049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720" w:left="903" w:right="1569" w:bottom="749" w:header="0" w:footer="3" w:gutter="0"/>
          <w:rtlGutter w:val="0"/>
          <w:cols w:num="2" w:space="720" w:equalWidth="0">
            <w:col w:w="4525" w:space="983"/>
            <w:col w:w="3928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АО «ЭТП ГПБ» </w:t>
      </w:r>
      <w:r>
        <w:fldChar w:fldCharType="begin"/>
      </w:r>
      <w:r>
        <w:rPr>
          <w:color w:val="000000"/>
        </w:rPr>
        <w:instrText> HYPERLINK "mailto:info@etpgpb.ru"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info@etpgpb.ru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1122" w:line="190" w:lineRule="exact"/>
        <w:ind w:left="56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Закупка № 0119200000122007104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center"/>
        <w:spacing w:before="0" w:after="872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№ 024/06/105-1669/2022 об устранении нарушений законодательства Российской Федерации в сфере закупок товаров, работ, услуг для обеспечения государственных и муниципальных нужд</w:t>
      </w:r>
    </w:p>
    <w:p>
      <w:pPr>
        <w:pStyle w:val="Style17"/>
        <w:tabs>
          <w:tab w:leader="none" w:pos="9171" w:val="right"/>
          <w:tab w:leader="none" w:pos="10222" w:val="right"/>
        </w:tabs>
        <w:widowControl w:val="0"/>
        <w:keepNext w:val="0"/>
        <w:keepLines w:val="0"/>
        <w:shd w:val="clear" w:color="auto" w:fill="auto"/>
        <w:bidi w:val="0"/>
        <w:spacing w:before="0" w:after="165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29 июня 2022 года</w:t>
        <w:tab/>
        <w:t>г.</w:t>
        <w:tab/>
        <w:t>Красноярск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Красноярского УФАС России по контролю в сфере закупок в составе: Председатель комиссии - А.А. Кириллова, Врио заместителя руководителя управления, члены Комиссии - О.В. Рогова, ведущий специалист-эксперт, М.А. Романцова - главный специалист-эксперт (далее - Комиссия), рассмотрев жалобу общества с ограниченной ответственностью «Терамо» на действия заказчика - КГБУЗ «Красноярский краевой центр охраны материнства и детства» (далее - заказчик) и уполномоченного органа - Агентства государственного заказа Красноярского края (далее - уполномоченный орган) при определении поставщика (подрядчика, исполнителя) путем проведения электронного аукциона «Поставка инкубатора для новорожденных для нужд КГБУЗ КККЦОМД в 2022г.» (далее - электронный аукцион), размещенного на электронной площадке АО «ЭТП ГПБ», предписывает заказчику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нужд:</w:t>
      </w:r>
    </w:p>
    <w:p>
      <w:pPr>
        <w:pStyle w:val="Style1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комиссии, уполномоченному органу, оператору электронной площадки необходимо отменить все протоколы, составленные в ходе проведения электронного аукциона.</w:t>
      </w:r>
    </w:p>
    <w:p>
      <w:pPr>
        <w:pStyle w:val="Style1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7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вернуть участникам закупки ранее поданные заявки на участие в электронном аукционе;</w:t>
      </w:r>
    </w:p>
    <w:p>
      <w:pPr>
        <w:pStyle w:val="Style17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электронном аукционе, об отмене протоколов, о прекращении действия заявок, поданных на участие в электронном аукционе, и о возможности подать новые заявки на участие в электронном аукционе;</w:t>
      </w:r>
    </w:p>
    <w:p>
      <w:pPr>
        <w:pStyle w:val="Style1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уполномоченному органу:</w:t>
      </w:r>
    </w:p>
    <w:p>
      <w:pPr>
        <w:pStyle w:val="Style17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внести изменения в извещение об осуществлении закупки и прилагаемые электронные документы с учетом выводов, изложенных в решении Красноярского УФАС России № 024/06/105-1669/2022</w:t>
      </w:r>
    </w:p>
    <w:p>
      <w:pPr>
        <w:pStyle w:val="Style17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продлить срок подачи заявок на участие в электронном аукционе таким образом, чтобы со дня, следующего за днем размещения изменений, до даты окончания срока подачи заявок на участие в закупке данный срок составлял не менее трех дней. При этом дата рассмотрения заявок на участие в электронном аукционе должна быть назначена не позднее двух рабочих дней со дня, следующего за датой окончания срока подачи заявок на участие в закупке, но не позднее даты подведения итогов. Назначить новую дату подведения итогов определения исполнителя.</w:t>
      </w:r>
    </w:p>
    <w:p>
      <w:pPr>
        <w:pStyle w:val="Style1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уполномоченному органу,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выводов, содержащихся в решении Комиссии от 29.06.2022 №024/06/105-1669/2022.</w:t>
      </w:r>
      <w:r>
        <w:br w:type="page"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0" w:right="2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 исполнении предписания сообщить в адрес Красноярского УФАС России в течение 30 дней с момента его получения путем представления сведений о совершенных действиях на официальном сайте Единой информационной системе в сфере закупок.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896" w:line="227" w:lineRule="exact"/>
        <w:ind w:left="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может быть обжаловано в арбитражный суд в течение трех месяцев со дня его вынесения.</w:t>
      </w:r>
    </w:p>
    <w:p>
      <w:pPr>
        <w:pStyle w:val="Style17"/>
        <w:tabs>
          <w:tab w:leader="none" w:pos="10130" w:val="right"/>
          <w:tab w:leader="none" w:pos="10130" w:val="right"/>
        </w:tabs>
        <w:widowControl w:val="0"/>
        <w:keepNext w:val="0"/>
        <w:keepLines w:val="0"/>
        <w:shd w:val="clear" w:color="auto" w:fill="auto"/>
        <w:bidi w:val="0"/>
        <w:spacing w:before="0" w:after="0" w:line="45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  <w:tab/>
        <w:t>^.А.</w:t>
        <w:tab/>
        <w:t>Кириллова</w:t>
      </w:r>
    </w:p>
    <w:p>
      <w:pPr>
        <w:pStyle w:val="Style17"/>
        <w:tabs>
          <w:tab w:leader="none" w:pos="9187" w:val="right"/>
          <w:tab w:leader="none" w:pos="9445" w:val="left"/>
        </w:tabs>
        <w:widowControl w:val="0"/>
        <w:keepNext w:val="0"/>
        <w:keepLines w:val="0"/>
        <w:shd w:val="clear" w:color="auto" w:fill="auto"/>
        <w:bidi w:val="0"/>
        <w:spacing w:before="0" w:after="0" w:line="45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^</w:t>
        <w:tab/>
        <w:t>^ Рогова</w:t>
      </w:r>
    </w:p>
    <w:p>
      <w:pPr>
        <w:pStyle w:val="Style20"/>
        <w:widowControl w:val="0"/>
        <w:keepNext/>
        <w:keepLines/>
        <w:shd w:val="clear" w:color="auto" w:fill="auto"/>
        <w:bidi w:val="0"/>
        <w:spacing w:before="0" w:after="0" w:line="300" w:lineRule="exact"/>
        <w:ind w:left="0" w:right="300" w:firstLine="0"/>
      </w:pPr>
      <w:bookmarkStart w:id="1" w:name="bookmark1"/>
      <w:r>
        <w:rPr>
          <w:rStyle w:val="CharStyle22"/>
        </w:rPr>
        <w:t>/Ъмаичэв'я</w:t>
      </w:r>
      <w:r>
        <w:rPr>
          <w:rStyle w:val="CharStyle23"/>
        </w:rPr>
        <w:t xml:space="preserve">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М 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 </w:t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p</w:t>
      </w:r>
      <w:r>
        <w:rPr>
          <w:lang w:val="en-US" w:eastAsia="en-US" w:bidi="en-US"/>
          <w:w w:val="100"/>
          <w:spacing w:val="0"/>
          <w:color w:val="000000"/>
          <w:position w:val="0"/>
        </w:rPr>
        <w:t>°</w:t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M</w:t>
      </w:r>
      <w:r>
        <w:rPr>
          <w:rStyle w:val="CharStyle24"/>
          <w:vertAlign w:val="superscript"/>
        </w:rPr>
        <w:t>3</w:t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H</w:t>
      </w:r>
      <w:r>
        <w:rPr>
          <w:lang w:val="en-US" w:eastAsia="en-US" w:bidi="en-US"/>
          <w:w w:val="100"/>
          <w:spacing w:val="0"/>
          <w:color w:val="000000"/>
          <w:position w:val="0"/>
        </w:rPr>
        <w:t>u</w:t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0Ba</w:t>
      </w:r>
      <w:bookmarkEnd w:id="1"/>
    </w:p>
    <w:sectPr>
      <w:type w:val="continuous"/>
      <w:pgSz w:w="11909" w:h="16838"/>
      <w:pgMar w:top="1086" w:left="763" w:right="713" w:bottom="111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Заголовок №1_"/>
    <w:basedOn w:val="DefaultParagraphFont"/>
    <w:link w:val="Style3"/>
    <w:rPr>
      <w:b w:val="0"/>
      <w:bCs w:val="0"/>
      <w:i/>
      <w:iCs/>
      <w:u w:val="none"/>
      <w:strike w:val="0"/>
      <w:smallCaps w:val="0"/>
      <w:sz w:val="38"/>
      <w:szCs w:val="38"/>
      <w:rFonts w:ascii="Times New Roman" w:eastAsia="Times New Roman" w:hAnsi="Times New Roman" w:cs="Times New Roman"/>
      <w:spacing w:val="-40"/>
    </w:rPr>
  </w:style>
  <w:style w:type="character" w:customStyle="1" w:styleId="CharStyle5">
    <w:name w:val="Заголовок №1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0"/>
    </w:rPr>
  </w:style>
  <w:style w:type="character" w:customStyle="1" w:styleId="CharStyle8">
    <w:name w:val="Основной текст (2)"/>
    <w:basedOn w:val="CharStyle7"/>
    <w:rPr>
      <w:lang w:val="ru-RU" w:eastAsia="ru-RU" w:bidi="ru-RU"/>
      <w:w w:val="10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5"/>
      <w:szCs w:val="15"/>
      <w:rFonts w:ascii="Microsoft Sans Serif" w:eastAsia="Microsoft Sans Serif" w:hAnsi="Microsoft Sans Serif" w:cs="Microsoft Sans Serif"/>
    </w:rPr>
  </w:style>
  <w:style w:type="character" w:customStyle="1" w:styleId="CharStyle11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lang w:val="en-US" w:eastAsia="en-US" w:bidi="en-US"/>
      <w:b w:val="0"/>
      <w:bCs w:val="0"/>
      <w:i/>
      <w:iCs/>
      <w:u w:val="none"/>
      <w:strike w:val="0"/>
      <w:smallCaps w:val="0"/>
      <w:sz w:val="21"/>
      <w:szCs w:val="21"/>
      <w:rFonts w:ascii="Consolas" w:eastAsia="Consolas" w:hAnsi="Consolas" w:cs="Consolas"/>
    </w:rPr>
  </w:style>
  <w:style w:type="character" w:customStyle="1" w:styleId="CharStyle14">
    <w:name w:val="Основной текст (4)"/>
    <w:basedOn w:val="CharStyle13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5">
    <w:name w:val="Основной текст (4) + Times New Roman,9,5 pt,Не курсив"/>
    <w:basedOn w:val="CharStyle13"/>
    <w:rPr>
      <w:i/>
      <w:iCs/>
      <w:sz w:val="19"/>
      <w:szCs w:val="19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6">
    <w:name w:val="Основной текст (4) + Times New Roman,9,5 pt,Не курсив"/>
    <w:basedOn w:val="CharStyle13"/>
    <w:rPr>
      <w:i/>
      <w:iCs/>
      <w:u w:val="single"/>
      <w:sz w:val="19"/>
      <w:szCs w:val="19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8">
    <w:name w:val="Основной текст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9">
    <w:name w:val="Основной текст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Заголовок №2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22">
    <w:name w:val="Заголовок №2 + 15 pt,Курсив"/>
    <w:basedOn w:val="CharStyle21"/>
    <w:rPr>
      <w:lang w:val="ru-RU" w:eastAsia="ru-RU" w:bidi="ru-RU"/>
      <w:i/>
      <w:iCs/>
      <w:sz w:val="30"/>
      <w:szCs w:val="30"/>
      <w:w w:val="100"/>
      <w:spacing w:val="0"/>
      <w:color w:val="000000"/>
      <w:position w:val="0"/>
    </w:rPr>
  </w:style>
  <w:style w:type="character" w:customStyle="1" w:styleId="CharStyle23">
    <w:name w:val="Заголовок №2"/>
    <w:basedOn w:val="CharStyle2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4">
    <w:name w:val="Заголовок №2"/>
    <w:basedOn w:val="CharStyle21"/>
    <w:rPr>
      <w:lang w:val="en-US" w:eastAsia="en-US" w:bidi="en-US"/>
      <w:w w:val="100"/>
      <w:spacing w:val="0"/>
      <w:color w:val="000000"/>
      <w:position w:val="0"/>
    </w:rPr>
  </w:style>
  <w:style w:type="paragraph" w:customStyle="1" w:styleId="Style3">
    <w:name w:val="Заголовок №1"/>
    <w:basedOn w:val="Normal"/>
    <w:link w:val="CharStyle4"/>
    <w:pPr>
      <w:widowControl w:val="0"/>
      <w:shd w:val="clear" w:color="auto" w:fill="FFFFFF"/>
      <w:jc w:val="center"/>
      <w:outlineLvl w:val="0"/>
      <w:spacing w:after="480" w:line="0" w:lineRule="exact"/>
    </w:pPr>
    <w:rPr>
      <w:b w:val="0"/>
      <w:bCs w:val="0"/>
      <w:i/>
      <w:iCs/>
      <w:u w:val="none"/>
      <w:strike w:val="0"/>
      <w:smallCaps w:val="0"/>
      <w:sz w:val="38"/>
      <w:szCs w:val="38"/>
      <w:rFonts w:ascii="Times New Roman" w:eastAsia="Times New Roman" w:hAnsi="Times New Roman" w:cs="Times New Roman"/>
      <w:spacing w:val="-40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before="480" w:after="120" w:line="281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0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180" w:after="120" w:line="212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Microsoft Sans Serif" w:eastAsia="Microsoft Sans Serif" w:hAnsi="Microsoft Sans Serif" w:cs="Microsoft Sans Serif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both"/>
      <w:spacing w:before="120" w:after="18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21"/>
      <w:szCs w:val="21"/>
      <w:rFonts w:ascii="Consolas" w:eastAsia="Consolas" w:hAnsi="Consolas" w:cs="Consolas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FFFFFF"/>
      <w:jc w:val="both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20">
    <w:name w:val="Заголовок №2"/>
    <w:basedOn w:val="Normal"/>
    <w:link w:val="CharStyle21"/>
    <w:pPr>
      <w:widowControl w:val="0"/>
      <w:shd w:val="clear" w:color="auto" w:fill="FFFFFF"/>
      <w:jc w:val="right"/>
      <w:outlineLvl w:val="1"/>
      <w:spacing w:line="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