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3" w:line="260" w:lineRule="exact"/>
        <w:ind w:left="5300" w:right="0" w:firstLine="0"/>
      </w:pPr>
      <w:r>
        <w:rPr>
          <w:lang w:val="ru-RU" w:eastAsia="ru-RU" w:bidi="ru-RU"/>
          <w:w w:val="100"/>
          <w:spacing w:val="0"/>
          <w:color w:val="000000"/>
          <w:position w:val="0"/>
        </w:rPr>
        <w:t>ГБУЗ «ГКБ им. Д.Д. Плетнева ДЗМ»</w:t>
      </w:r>
    </w:p>
    <w:p>
      <w:pPr>
        <w:pStyle w:val="Style3"/>
        <w:widowControl w:val="0"/>
        <w:keepNext w:val="0"/>
        <w:keepLines w:val="0"/>
        <w:shd w:val="clear" w:color="auto" w:fill="auto"/>
        <w:bidi w:val="0"/>
        <w:jc w:val="left"/>
        <w:spacing w:before="0" w:after="349" w:line="322" w:lineRule="exact"/>
        <w:ind w:left="5300" w:right="520" w:firstLine="0"/>
      </w:pPr>
      <w:r>
        <w:rPr>
          <w:lang w:val="ru-RU" w:eastAsia="ru-RU" w:bidi="ru-RU"/>
          <w:w w:val="100"/>
          <w:spacing w:val="0"/>
          <w:color w:val="000000"/>
          <w:position w:val="0"/>
        </w:rPr>
        <w:t>ул. 11-ая Парковая, д. 32, г. Москва, 105077</w:t>
      </w:r>
    </w:p>
    <w:p>
      <w:pPr>
        <w:pStyle w:val="Style3"/>
        <w:widowControl w:val="0"/>
        <w:keepNext w:val="0"/>
        <w:keepLines w:val="0"/>
        <w:shd w:val="clear" w:color="auto" w:fill="auto"/>
        <w:bidi w:val="0"/>
        <w:jc w:val="left"/>
        <w:spacing w:before="0" w:after="303" w:line="260" w:lineRule="exact"/>
        <w:ind w:left="5300" w:right="0" w:firstLine="0"/>
      </w:pPr>
      <w:r>
        <w:rPr>
          <w:lang w:val="ru-RU" w:eastAsia="ru-RU" w:bidi="ru-RU"/>
          <w:w w:val="100"/>
          <w:spacing w:val="0"/>
          <w:color w:val="000000"/>
          <w:position w:val="0"/>
        </w:rPr>
        <w:t>ИП Косарева Н.А.</w:t>
      </w:r>
    </w:p>
    <w:p>
      <w:pPr>
        <w:pStyle w:val="Style3"/>
        <w:widowControl w:val="0"/>
        <w:keepNext w:val="0"/>
        <w:keepLines w:val="0"/>
        <w:shd w:val="clear" w:color="auto" w:fill="auto"/>
        <w:bidi w:val="0"/>
        <w:jc w:val="left"/>
        <w:spacing w:before="0" w:after="349" w:line="322" w:lineRule="exact"/>
        <w:ind w:left="5300" w:right="20" w:firstLine="0"/>
      </w:pPr>
      <w:r>
        <w:rPr>
          <w:lang w:val="ru-RU" w:eastAsia="ru-RU" w:bidi="ru-RU"/>
          <w:w w:val="100"/>
          <w:spacing w:val="0"/>
          <w:color w:val="000000"/>
          <w:position w:val="0"/>
        </w:rPr>
        <w:t>ул. Сибирская, д. 41, 77, г. Новосибирск, 630132</w:t>
      </w:r>
    </w:p>
    <w:p>
      <w:pPr>
        <w:pStyle w:val="Style3"/>
        <w:widowControl w:val="0"/>
        <w:keepNext w:val="0"/>
        <w:keepLines w:val="0"/>
        <w:shd w:val="clear" w:color="auto" w:fill="auto"/>
        <w:bidi w:val="0"/>
        <w:jc w:val="left"/>
        <w:spacing w:before="0" w:after="303" w:line="260" w:lineRule="exact"/>
        <w:ind w:left="530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540" w:line="322" w:lineRule="exact"/>
        <w:ind w:left="5300" w:right="20" w:firstLine="0"/>
      </w:pPr>
      <w:r>
        <w:rPr>
          <w:lang w:val="ru-RU" w:eastAsia="ru-RU" w:bidi="ru-RU"/>
          <w:w w:val="100"/>
          <w:spacing w:val="0"/>
          <w:color w:val="000000"/>
          <w:position w:val="0"/>
        </w:rPr>
        <w:t>ул. Кожевническая, д. 14, стр. 5, г. Москва, 115114</w:t>
      </w:r>
    </w:p>
    <w:p>
      <w:pPr>
        <w:pStyle w:val="Style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РЕШЕНИЕ по делу № 077/06/106-9924/2022 о нарушении законодательства о контрактной системе</w:t>
      </w:r>
    </w:p>
    <w:p>
      <w:pPr>
        <w:pStyle w:val="Style9"/>
        <w:numPr>
          <w:ilvl w:val="0"/>
          <w:numId w:val="1"/>
        </w:numPr>
        <w:tabs>
          <w:tab w:leader="none" w:pos="9101" w:val="right"/>
          <w:tab w:leader="none" w:pos="10157" w:val="righ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г.</w:t>
        <w:tab/>
        <w:t>Москва</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Специалиста-эксперта разряда отдела обжалования государственных закупок М.О. Мацневой,</w:t>
      </w:r>
    </w:p>
    <w:p>
      <w:pPr>
        <w:pStyle w:val="Style3"/>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Специалиста 1 разряда отдела обжалования государственных закупок</w:t>
      </w:r>
    </w:p>
    <w:p>
      <w:pPr>
        <w:pStyle w:val="Style3"/>
        <w:tabs>
          <w:tab w:leader="none" w:pos="630" w:val="left"/>
        </w:tabs>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Э.З.</w:t>
        <w:tab/>
        <w:t>Гугава,</w:t>
      </w:r>
    </w:p>
    <w:p>
      <w:pPr>
        <w:pStyle w:val="Style3"/>
        <w:widowControl w:val="0"/>
        <w:keepNext w:val="0"/>
        <w:keepLines w:val="0"/>
        <w:shd w:val="clear" w:color="auto" w:fill="auto"/>
        <w:bidi w:val="0"/>
        <w:jc w:val="left"/>
        <w:spacing w:before="0" w:after="0" w:line="317" w:lineRule="exact"/>
        <w:ind w:left="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ГБУЗ «ГКБ им. Д.Д. Плетнева ДЗМ»: М.М. Курбанова (доверенность от</w:t>
      </w:r>
    </w:p>
    <w:p>
      <w:pPr>
        <w:pStyle w:val="Style3"/>
        <w:numPr>
          <w:ilvl w:val="0"/>
          <w:numId w:val="3"/>
        </w:numPr>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 xml:space="preserve"> №24/05/22),</w:t>
      </w:r>
    </w:p>
    <w:p>
      <w:pPr>
        <w:pStyle w:val="Style3"/>
        <w:tabs>
          <w:tab w:leader="none" w:pos="1958" w:val="left"/>
        </w:tabs>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ИП Косарева Н.А.: К.М. Ширшова (доверенность от 16.06.2022 №1312), рассмотрев жалобу ИП Косарева Н.А. (далее — Заявитель) на действия ГБУЗ «ГКБ им. Д.Д. Плетнева ДЗМ» (далее — Заказчик) при проведении электронного аукциона на право заключения государственного контракта на поставку наборов для измерения давления для нужд ГБУЗ «ГКБ им. Д.Д. Плетнёва ДЗМ» (Закупка №</w:t>
        <w:tab/>
        <w:t>0373200010822000354) (далее — аукцион), в соответствии</w:t>
      </w:r>
    </w:p>
    <w:p>
      <w:pPr>
        <w:pStyle w:val="Style3"/>
        <w:widowControl w:val="0"/>
        <w:keepNext w:val="0"/>
        <w:keepLines w:val="0"/>
        <w:shd w:val="clear" w:color="auto" w:fill="auto"/>
        <w:bidi w:val="0"/>
        <w:jc w:val="both"/>
        <w:spacing w:before="0" w:after="237" w:line="317" w:lineRule="exact"/>
        <w:ind w:left="0" w:right="0" w:firstLine="0"/>
      </w:pPr>
      <w:r>
        <w:rPr>
          <w:lang w:val="ru-RU" w:eastAsia="ru-RU" w:bidi="ru-RU"/>
          <w:w w:val="100"/>
          <w:spacing w:val="0"/>
          <w:color w:val="000000"/>
          <w:position w:val="0"/>
        </w:rPr>
        <w:t>с Федеральным законом от 05.04.2013 № 44-ФЗ «О контрактной системе в сфере</w:t>
      </w:r>
    </w:p>
    <w:p>
      <w:pPr>
        <w:pStyle w:val="Style1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000617468557</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закупок товаров, работ, услуг для обеспечения государственных и мун</w:t>
      </w:r>
      <w:r>
        <w:rPr>
          <w:rStyle w:val="CharStyle13"/>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4"/>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 ЕИ/33848/22 от 27.06.2022), Комиссия Управления установила следующее.</w:t>
      </w:r>
    </w:p>
    <w:p>
      <w:pPr>
        <w:pStyle w:val="Style3"/>
        <w:tabs>
          <w:tab w:leader="none" w:pos="6355"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20.06.2022</w:t>
        <w:tab/>
        <w:t>№ИЭА1 заявка Заявителя</w:t>
      </w:r>
    </w:p>
    <w:p>
      <w:pPr>
        <w:pStyle w:val="Style3"/>
        <w:tabs>
          <w:tab w:leader="none" w:pos="6150" w:val="left"/>
          <w:tab w:leader="none" w:pos="7050" w:val="left"/>
          <w:tab w:leader="none" w:pos="7839" w:val="left"/>
          <w:tab w:leader="none" w:pos="8751" w:val="left"/>
          <w:tab w:leader="none" w:pos="10191"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(номер заявки 3) признана не соответствующей требованиям аукционной документации на следующем основании:</w:t>
        <w:tab/>
        <w:t>«п.1</w:t>
        <w:tab/>
        <w:t>ч.12</w:t>
        <w:tab/>
        <w:t>ст.48</w:t>
        <w:tab/>
        <w:t>№44-ФЗ</w:t>
        <w:tab/>
        <w:t>-</w:t>
      </w:r>
    </w:p>
    <w:p>
      <w:pPr>
        <w:pStyle w:val="Style3"/>
        <w:tabs>
          <w:tab w:leader="none" w:pos="7050"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Непредставление информации и документов, предусмотренных извещением об осуществлении закупки в соответствии с Законом №44 ФЗ (за исключением информации и документов, предусмотренных п.2 и 3 ч.6 ст.43 №44 ФЗ), несоответствие таких информации и документов требованиям, установленным в извещении об осуществлении закупки, а именно:</w:t>
        <w:tab/>
        <w:t>заказчиком установлено</w:t>
      </w:r>
    </w:p>
    <w:p>
      <w:pPr>
        <w:pStyle w:val="Style3"/>
        <w:tabs>
          <w:tab w:leader="none" w:pos="3500" w:val="left"/>
          <w:tab w:leader="none" w:pos="635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требование к составу</w:t>
        <w:tab/>
        <w:t>закупаемого набора</w:t>
        <w:tab/>
        <w:t>для инвазивного измерения</w:t>
      </w:r>
    </w:p>
    <w:p>
      <w:pPr>
        <w:pStyle w:val="Style3"/>
        <w:tabs>
          <w:tab w:leader="none" w:pos="3500" w:val="left"/>
          <w:tab w:leader="none" w:pos="6355"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артериального давления с одноразовым преобразователем (преобразователь венозного давления, инфузионная система и магистрали высокого давления с цветовой кодировкой, трехходовой кран, промывное устройство с клапаном, встроенный кабель с</w:t>
        <w:tab/>
        <w:t>четырехконтактным</w:t>
        <w:tab/>
        <w:t>разъемом, совместимым с</w:t>
      </w:r>
    </w:p>
    <w:p>
      <w:pPr>
        <w:pStyle w:val="Style3"/>
        <w:tabs>
          <w:tab w:leader="none" w:pos="3500" w:val="left"/>
          <w:tab w:leader="none" w:pos="635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соединительным кабелем</w:t>
        <w:tab/>
        <w:t>типа Комбитранс). В</w:t>
        <w:tab/>
        <w:t>соответствии с информацией</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представительства производителя кабели соединительные Комбитранс совместимы только с наборами для контроля давления с преобразователем Комбитранс. Заявка участника содержит предложение о поставке преобразователя кровяного давления </w:t>
      </w:r>
      <w:r>
        <w:rPr>
          <w:lang w:val="en-US" w:eastAsia="en-US" w:bidi="en-US"/>
          <w:w w:val="100"/>
          <w:spacing w:val="0"/>
          <w:color w:val="000000"/>
          <w:position w:val="0"/>
        </w:rPr>
        <w:t>Lepu Medical».</w:t>
      </w:r>
    </w:p>
    <w:p>
      <w:pPr>
        <w:pStyle w:val="Style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tabs>
          <w:tab w:leader="none" w:pos="2826" w:val="left"/>
        </w:tabs>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В силу ч.2</w:t>
        <w:tab/>
        <w:t>ст.33 Закона о контрактной системе документация</w:t>
      </w:r>
    </w:p>
    <w:p>
      <w:pPr>
        <w:pStyle w:val="Style3"/>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Комиссией Управления установлено, что Заказчиком в технической части аукционной документации установлены требования по п. «Набор для инвазивного измерения артериального давления с одноразовым преобразователем: встроенный кабель с четырехконтактным разъемом, совместимым с соединительным кабелем типа Комбитранс».</w:t>
      </w:r>
    </w:p>
    <w:p>
      <w:pPr>
        <w:pStyle w:val="Style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3"/>
        <w:tabs>
          <w:tab w:leader="none" w:pos="5414" w:val="center"/>
          <w:tab w:leader="none" w:pos="5985" w:val="left"/>
        </w:tabs>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а) с учетом положений ч. 2</w:t>
        <w:tab/>
        <w:t>ст.43</w:t>
        <w:tab/>
        <w:t>Закона о контрактной системе</w:t>
      </w:r>
    </w:p>
    <w:p>
      <w:pPr>
        <w:pStyle w:val="Style3"/>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г) 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Комиссией Управления установлено, что Заявителем предложены к поставке изделия по п. «Преобразователь кровяного давления одноразовый (Набор инвазивного измерения артериального давления с одноразовым преобразователем): совместимость с соединительным кабелем типа Комбитранс», </w:t>
      </w:r>
      <w:r>
        <w:rPr>
          <w:lang w:val="en-US" w:eastAsia="en-US" w:bidi="en-US"/>
          <w:w w:val="100"/>
          <w:spacing w:val="0"/>
          <w:color w:val="000000"/>
          <w:position w:val="0"/>
        </w:rPr>
        <w:t xml:space="preserve">Lepu Medical, </w:t>
      </w:r>
      <w:r>
        <w:rPr>
          <w:lang w:val="ru-RU" w:eastAsia="ru-RU" w:bidi="ru-RU"/>
          <w:w w:val="100"/>
          <w:spacing w:val="0"/>
          <w:color w:val="000000"/>
          <w:position w:val="0"/>
        </w:rPr>
        <w:t>Китай.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согласно информационному письму официального производителя ООО «Б.Браун Медикал» №207/21 ББМ от 25.06.2021, являющего производителем соединительных кабелей Комбитранс, указано, что соединительные кабели Комбитранс совместимы только с наборами для контроля давления с преобразователем Комбитранс.</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Кроме того, Заказчиком направлен запрос в ООО «Б.Браун Медикал» №14 от</w:t>
      </w:r>
    </w:p>
    <w:p>
      <w:pPr>
        <w:pStyle w:val="Style3"/>
        <w:numPr>
          <w:ilvl w:val="0"/>
          <w:numId w:val="5"/>
        </w:numPr>
        <w:tabs>
          <w:tab w:leader="none" w:pos="1413"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о совместимости/несовместимости содинительного кабеля Комбитранс с преобразователем кровяного давления, одноразовыми производства </w:t>
      </w:r>
      <w:r>
        <w:rPr>
          <w:lang w:val="en-US" w:eastAsia="en-US" w:bidi="en-US"/>
          <w:w w:val="100"/>
          <w:spacing w:val="0"/>
          <w:color w:val="000000"/>
          <w:position w:val="0"/>
        </w:rPr>
        <w:t xml:space="preserve">Lepu Medical Technology, </w:t>
      </w:r>
      <w:r>
        <w:rPr>
          <w:lang w:val="ru-RU" w:eastAsia="ru-RU" w:bidi="ru-RU"/>
          <w:w w:val="100"/>
          <w:spacing w:val="0"/>
          <w:color w:val="000000"/>
          <w:position w:val="0"/>
        </w:rPr>
        <w:t>при этом получен ответ ООО «Б.Браун Медикал» №1005/22 ББМ от 28.06.2022 согласно которому указано:</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«В ответ на запрос №14 от 28.06.22 сообщаем, что кабели соединительные Комбитранс </w:t>
      </w:r>
      <w:r>
        <w:rPr>
          <w:lang w:val="en-US" w:eastAsia="en-US" w:bidi="en-US"/>
          <w:w w:val="100"/>
          <w:spacing w:val="0"/>
          <w:color w:val="000000"/>
          <w:position w:val="0"/>
        </w:rPr>
        <w:t xml:space="preserve">(Combitrans monitoring cable) </w:t>
      </w:r>
      <w:r>
        <w:rPr>
          <w:lang w:val="ru-RU" w:eastAsia="ru-RU" w:bidi="ru-RU"/>
          <w:w w:val="100"/>
          <w:spacing w:val="0"/>
          <w:color w:val="000000"/>
          <w:position w:val="0"/>
        </w:rPr>
        <w:t xml:space="preserve">производства </w:t>
      </w:r>
      <w:r>
        <w:rPr>
          <w:lang w:val="en-US" w:eastAsia="en-US" w:bidi="en-US"/>
          <w:w w:val="100"/>
          <w:spacing w:val="0"/>
          <w:color w:val="000000"/>
          <w:position w:val="0"/>
        </w:rPr>
        <w:t xml:space="preserve">B.Braun Melsungen AG, </w:t>
      </w:r>
      <w:r>
        <w:rPr>
          <w:lang w:val="ru-RU" w:eastAsia="ru-RU" w:bidi="ru-RU"/>
          <w:w w:val="100"/>
          <w:spacing w:val="0"/>
          <w:color w:val="000000"/>
          <w:position w:val="0"/>
        </w:rPr>
        <w:t xml:space="preserve">совместимы с устройствами для контроля кровяного давления Комбидин </w:t>
      </w:r>
      <w:r>
        <w:rPr>
          <w:lang w:val="en-US" w:eastAsia="en-US" w:bidi="en-US"/>
          <w:w w:val="100"/>
          <w:spacing w:val="0"/>
          <w:color w:val="000000"/>
          <w:position w:val="0"/>
        </w:rPr>
        <w:t xml:space="preserve">(Combydin), </w:t>
      </w:r>
      <w:r>
        <w:rPr>
          <w:lang w:val="ru-RU" w:eastAsia="ru-RU" w:bidi="ru-RU"/>
          <w:w w:val="100"/>
          <w:spacing w:val="0"/>
          <w:color w:val="000000"/>
          <w:position w:val="0"/>
        </w:rPr>
        <w:t xml:space="preserve">Комбитранс </w:t>
      </w:r>
      <w:r>
        <w:rPr>
          <w:lang w:val="en-US" w:eastAsia="en-US" w:bidi="en-US"/>
          <w:w w:val="100"/>
          <w:spacing w:val="0"/>
          <w:color w:val="000000"/>
          <w:position w:val="0"/>
        </w:rPr>
        <w:t xml:space="preserve">(Combitrans) </w:t>
      </w:r>
      <w:r>
        <w:rPr>
          <w:lang w:val="ru-RU" w:eastAsia="ru-RU" w:bidi="ru-RU"/>
          <w:w w:val="100"/>
          <w:spacing w:val="0"/>
          <w:color w:val="000000"/>
          <w:position w:val="0"/>
        </w:rPr>
        <w:t xml:space="preserve">производства </w:t>
      </w:r>
      <w:r>
        <w:rPr>
          <w:lang w:val="en-US" w:eastAsia="en-US" w:bidi="en-US"/>
          <w:w w:val="100"/>
          <w:spacing w:val="0"/>
          <w:color w:val="000000"/>
          <w:position w:val="0"/>
        </w:rPr>
        <w:t>B.Braun Melsungen AG.</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Устройства протестированы производителем, что гарантирует надлежащую работу и передачу информации без искажений.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Тестирование на совместимость устройств для измерения кровяного давления (преобразователей) других производителей с кабелями Комбитранс не проводилось, надлежащая работа и безопасность в таком случае не могут быть гарантированы».</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по мнению аукционной комиссии Заказчика в составе заявки Заявителя содержится преобразователь кровяного давления, который не соответствует требованиям, установленным в извещение об осуществлении закупки.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На заседании Комиссии Управления представитель Заявителя пояснил, что согласно описанию объекта закупки к поставке не требуется эксклюзивная продукция, формулировка «Встроенный кабель с четырехконтактным разъемом, совместимый с соединительным кабелем </w:t>
      </w:r>
      <w:r>
        <w:rPr>
          <w:rStyle w:val="CharStyle16"/>
        </w:rPr>
        <w:t>типа</w:t>
      </w:r>
      <w:r>
        <w:rPr>
          <w:lang w:val="ru-RU" w:eastAsia="ru-RU" w:bidi="ru-RU"/>
          <w:w w:val="100"/>
          <w:spacing w:val="0"/>
          <w:color w:val="000000"/>
          <w:position w:val="0"/>
        </w:rPr>
        <w:t xml:space="preserve"> Комбитранс» не указывает на конкретного производителя, при этом продукция производства </w:t>
      </w:r>
      <w:r>
        <w:rPr>
          <w:lang w:val="en-US" w:eastAsia="en-US" w:bidi="en-US"/>
          <w:w w:val="100"/>
          <w:spacing w:val="0"/>
          <w:color w:val="000000"/>
          <w:position w:val="0"/>
        </w:rPr>
        <w:t xml:space="preserve">B. Braun Melsungen AG </w:t>
      </w:r>
      <w:r>
        <w:rPr>
          <w:lang w:val="ru-RU" w:eastAsia="ru-RU" w:bidi="ru-RU"/>
          <w:w w:val="100"/>
          <w:spacing w:val="0"/>
          <w:color w:val="000000"/>
          <w:position w:val="0"/>
        </w:rPr>
        <w:t xml:space="preserve">(Германия) в регистрационном удостоверении от 20.07.2017 № РЗН 2013/245 имеет наименование варианта исполнения Комбитранс, а </w:t>
      </w:r>
      <w:r>
        <w:rPr>
          <w:rStyle w:val="CharStyle16"/>
        </w:rPr>
        <w:t>не типа</w:t>
      </w:r>
      <w:r>
        <w:rPr>
          <w:lang w:val="ru-RU" w:eastAsia="ru-RU" w:bidi="ru-RU"/>
          <w:w w:val="100"/>
          <w:spacing w:val="0"/>
          <w:color w:val="000000"/>
          <w:position w:val="0"/>
        </w:rPr>
        <w:t xml:space="preserve"> Комбитранс.</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Кроме того, на заседании Комиссии Управления представитель Заявителя пояснил, что согласно информационному письму ООО «Вайт» №б/н от 10.06.2022, являющегося дистрибьютором (представителем) компании </w:t>
      </w:r>
      <w:r>
        <w:rPr>
          <w:lang w:val="en-US" w:eastAsia="en-US" w:bidi="en-US"/>
          <w:w w:val="100"/>
          <w:spacing w:val="0"/>
          <w:color w:val="000000"/>
          <w:position w:val="0"/>
        </w:rPr>
        <w:t xml:space="preserve">Lepu Vedical Technology (Beijing) Co., Ltd. </w:t>
      </w:r>
      <w:r>
        <w:rPr>
          <w:lang w:val="ru-RU" w:eastAsia="ru-RU" w:bidi="ru-RU"/>
          <w:w w:val="100"/>
          <w:spacing w:val="0"/>
          <w:color w:val="000000"/>
          <w:position w:val="0"/>
        </w:rPr>
        <w:t xml:space="preserve">(Китай) указана, что преобразователи кровяного давления одноразовые, выпускаемые под торговой маркой </w:t>
      </w:r>
      <w:r>
        <w:rPr>
          <w:lang w:val="en-US" w:eastAsia="en-US" w:bidi="en-US"/>
          <w:w w:val="100"/>
          <w:spacing w:val="0"/>
          <w:color w:val="000000"/>
          <w:position w:val="0"/>
        </w:rPr>
        <w:t xml:space="preserve">Lepu Medical </w:t>
      </w:r>
      <w:r>
        <w:rPr>
          <w:lang w:val="ru-RU" w:eastAsia="ru-RU" w:bidi="ru-RU"/>
          <w:w w:val="100"/>
          <w:spacing w:val="0"/>
          <w:color w:val="000000"/>
          <w:position w:val="0"/>
        </w:rPr>
        <w:t xml:space="preserve">(регистрационное удостоверение №ФСЗ 2010/08301 от 30.11.2010) с встроеным кабелем с круглым четырехконтактным разъемом </w:t>
      </w:r>
      <w:r>
        <w:rPr>
          <w:rStyle w:val="CharStyle16"/>
        </w:rPr>
        <w:t>типа</w:t>
      </w:r>
      <w:r>
        <w:rPr>
          <w:lang w:val="ru-RU" w:eastAsia="ru-RU" w:bidi="ru-RU"/>
          <w:w w:val="100"/>
          <w:spacing w:val="0"/>
          <w:color w:val="000000"/>
          <w:position w:val="0"/>
        </w:rPr>
        <w:t xml:space="preserve"> Комбитранс могут быть использованы с любыми существующими мониторами пациента, с поддержкой функционала для инвазивного измерения и мониторинга артериального и центрального венозного давления, при наличии соединительного кабеля монитора пациент, имеющего круглый четырехконтактный разъем </w:t>
      </w:r>
      <w:r>
        <w:rPr>
          <w:rStyle w:val="CharStyle16"/>
        </w:rPr>
        <w:t>типа</w:t>
      </w:r>
      <w:r>
        <w:rPr>
          <w:lang w:val="ru-RU" w:eastAsia="ru-RU" w:bidi="ru-RU"/>
          <w:w w:val="100"/>
          <w:spacing w:val="0"/>
          <w:color w:val="000000"/>
          <w:position w:val="0"/>
        </w:rPr>
        <w:t xml:space="preserve"> Комбитранс.</w:t>
      </w:r>
    </w:p>
    <w:p>
      <w:pPr>
        <w:pStyle w:val="Style3"/>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 xml:space="preserve">Комиссия Управления отмечает, что согласно положениям Технического задания предусмотрена совместимость с соединительным кабелем </w:t>
      </w:r>
      <w:r>
        <w:rPr>
          <w:rStyle w:val="CharStyle16"/>
        </w:rPr>
        <w:t xml:space="preserve">типа </w:t>
      </w:r>
      <w:r>
        <w:rPr>
          <w:lang w:val="ru-RU" w:eastAsia="ru-RU" w:bidi="ru-RU"/>
          <w:w w:val="100"/>
          <w:spacing w:val="0"/>
          <w:color w:val="000000"/>
          <w:position w:val="0"/>
        </w:rPr>
        <w:t>Комбитранс, что не свидетельствует о необходимости конкретного соединительного кабеля.</w:t>
      </w:r>
    </w:p>
    <w:p>
      <w:pPr>
        <w:pStyle w:val="Style3"/>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С учетом вышеизложенного, Комиссия Управления отмечает, что в целях исключения какого-либо субъективного правоусмотрения при разрешении вопроса о допуске той или иной заявки к участию в аукционе документация должна содержать в себе четкие, исчерпывающие требования к участникам, подающим заявки на участие в закупке.</w:t>
      </w:r>
    </w:p>
    <w:p>
      <w:pPr>
        <w:pStyle w:val="Style3"/>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Наличие же любых равновесных противоречий, возникающих при работе с извещением об осуществлении закупки, является следствием действий Заказчика, а следовательно, возникшие противоречия должны трактоваться в пользу более слабой стороны правоотношений (участника закупки).</w:t>
      </w:r>
    </w:p>
    <w:p>
      <w:pPr>
        <w:pStyle w:val="Style3"/>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pPr>
        <w:pStyle w:val="Style3"/>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3"/>
        <w:numPr>
          <w:ilvl w:val="0"/>
          <w:numId w:val="7"/>
        </w:numPr>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3"/>
        <w:numPr>
          <w:ilvl w:val="0"/>
          <w:numId w:val="7"/>
        </w:numPr>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 xml:space="preserve"> 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3"/>
        <w:numPr>
          <w:ilvl w:val="0"/>
          <w:numId w:val="7"/>
        </w:numPr>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3"/>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3"/>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3"/>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3"/>
        <w:numPr>
          <w:ilvl w:val="0"/>
          <w:numId w:val="7"/>
        </w:numPr>
        <w:widowControl w:val="0"/>
        <w:keepNext w:val="0"/>
        <w:keepLines w:val="0"/>
        <w:shd w:val="clear" w:color="auto" w:fill="auto"/>
        <w:bidi w:val="0"/>
        <w:jc w:val="both"/>
        <w:spacing w:before="0" w:after="0" w:line="322" w:lineRule="exact"/>
        <w:ind w:left="20" w:right="0" w:firstLine="740"/>
      </w:pPr>
      <w:r>
        <w:rPr>
          <w:lang w:val="ru-RU" w:eastAsia="ru-RU" w:bidi="ru-RU"/>
          <w:w w:val="100"/>
          <w:spacing w:val="0"/>
          <w:color w:val="000000"/>
          <w:position w:val="0"/>
        </w:rPr>
        <w:t xml:space="preserve"> предусмотренных ч. 6 ст. 45 Закона о контрактной системе;</w:t>
      </w:r>
    </w:p>
    <w:p>
      <w:pPr>
        <w:pStyle w:val="Style3"/>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3"/>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указания информации о предложении участника закупки, предусмотренном п. 3 или п. 4 ч. 1 ст. 43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Таким образом, Комиссия Управления приходит к выводу о том, что решение аукционной комиссии Заказчика о признании заявки ИП Косарева Н.А. несоответствующей по основанию, отраженному в протоколе подведения итогов электронного аукциона, является неправомерным и принято в нарушение пп. «а» п. 1 ч. 5 ст. 49 Закона о контрактной системе, что содержит признаки состава административного правонарушения, ответственность за которое предусмотрена ч. 2 ст. 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2329" w:line="322" w:lineRule="exact"/>
        <w:ind w:left="20" w:right="20" w:firstLine="74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9"/>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Р Е Ш И Л А:</w:t>
      </w:r>
      <w:r>
        <w:br w:type="page"/>
      </w:r>
    </w:p>
    <w:p>
      <w:pPr>
        <w:pStyle w:val="Style3"/>
        <w:numPr>
          <w:ilvl w:val="0"/>
          <w:numId w:val="9"/>
        </w:numPr>
        <w:widowControl w:val="0"/>
        <w:keepNext w:val="0"/>
        <w:keepLines w:val="0"/>
        <w:shd w:val="clear" w:color="auto" w:fill="auto"/>
        <w:bidi w:val="0"/>
        <w:jc w:val="both"/>
        <w:spacing w:before="0" w:after="0" w:line="326" w:lineRule="exact"/>
        <w:ind w:left="20" w:right="40" w:firstLine="680"/>
      </w:pPr>
      <w:r>
        <w:rPr>
          <w:lang w:val="ru-RU" w:eastAsia="ru-RU" w:bidi="ru-RU"/>
          <w:w w:val="100"/>
          <w:spacing w:val="0"/>
          <w:color w:val="000000"/>
          <w:position w:val="0"/>
        </w:rPr>
        <w:t>Признать жалобу ИП Косарева Н.А. на действия аукционной комиссии ГБУЗ «ГКБ им. Д.Д. Плетнева ДЗМ» обоснованной.</w:t>
      </w:r>
    </w:p>
    <w:p>
      <w:pPr>
        <w:pStyle w:val="Style3"/>
        <w:numPr>
          <w:ilvl w:val="0"/>
          <w:numId w:val="9"/>
        </w:numPr>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Признать в действиях Заказчика нарушения пп. «а» п. 1 ч. 5 ст. 49 Закона о контрактной системе.</w:t>
      </w:r>
    </w:p>
    <w:p>
      <w:pPr>
        <w:pStyle w:val="Style3"/>
        <w:numPr>
          <w:ilvl w:val="0"/>
          <w:numId w:val="9"/>
        </w:numPr>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Выдать Заказчику обязательное для исполнения предписание об устранении нарушений законодательства о контрактной системе.</w:t>
      </w:r>
    </w:p>
    <w:p>
      <w:pPr>
        <w:pStyle w:val="Style3"/>
        <w:numPr>
          <w:ilvl w:val="0"/>
          <w:numId w:val="9"/>
        </w:numPr>
        <w:widowControl w:val="0"/>
        <w:keepNext w:val="0"/>
        <w:keepLines w:val="0"/>
        <w:shd w:val="clear" w:color="auto" w:fill="auto"/>
        <w:bidi w:val="0"/>
        <w:jc w:val="both"/>
        <w:spacing w:before="0" w:after="296" w:line="317" w:lineRule="exact"/>
        <w:ind w:left="20" w:right="40" w:firstLine="680"/>
      </w:pPr>
      <w:r>
        <w:rPr>
          <w:lang w:val="ru-RU" w:eastAsia="ru-RU" w:bidi="ru-RU"/>
          <w:w w:val="100"/>
          <w:spacing w:val="0"/>
          <w:color w:val="000000"/>
          <w:position w:val="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jc w:val="both"/>
        <w:spacing w:before="0" w:after="300" w:line="322" w:lineRule="exact"/>
        <w:ind w:left="20" w:right="40" w:firstLine="68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3"/>
        <w:framePr w:w="2973" w:h="633" w:wrap="around" w:vAnchor="text" w:hAnchor="margin" w:x="-85" w:y="-55"/>
        <w:widowControl w:val="0"/>
        <w:keepNext w:val="0"/>
        <w:keepLines w:val="0"/>
        <w:shd w:val="clear" w:color="auto" w:fill="auto"/>
        <w:bidi w:val="0"/>
        <w:jc w:val="both"/>
        <w:spacing w:before="0" w:after="0" w:line="317" w:lineRule="exact"/>
        <w:ind w:left="0" w:right="100" w:firstLine="0"/>
      </w:pPr>
      <w:r>
        <w:rPr>
          <w:rStyle w:val="CharStyle4"/>
          <w:spacing w:val="0"/>
        </w:rPr>
        <w:t>Председательствующий Члены Комиссии:</w:t>
      </w:r>
    </w:p>
    <w:p>
      <w:pPr>
        <w:pStyle w:val="Style3"/>
        <w:widowControl w:val="0"/>
        <w:keepNext w:val="0"/>
        <w:keepLines w:val="0"/>
        <w:shd w:val="clear" w:color="auto" w:fill="auto"/>
        <w:bidi w:val="0"/>
        <w:jc w:val="both"/>
        <w:spacing w:before="0" w:after="0" w:line="322" w:lineRule="exact"/>
        <w:ind w:left="5600" w:right="40" w:firstLine="0"/>
      </w:pPr>
      <w:r>
        <w:rPr>
          <w:lang w:val="ru-RU" w:eastAsia="ru-RU" w:bidi="ru-RU"/>
          <w:w w:val="100"/>
          <w:spacing w:val="0"/>
          <w:color w:val="000000"/>
          <w:position w:val="0"/>
        </w:rPr>
        <w:t>С.И. Казарин М.О. Мацнева</w:t>
      </w:r>
    </w:p>
    <w:p>
      <w:pPr>
        <w:pStyle w:val="Style3"/>
        <w:tabs>
          <w:tab w:leader="none" w:pos="9386" w:val="left"/>
        </w:tabs>
        <w:widowControl w:val="0"/>
        <w:keepNext w:val="0"/>
        <w:keepLines w:val="0"/>
        <w:shd w:val="clear" w:color="auto" w:fill="auto"/>
        <w:bidi w:val="0"/>
        <w:jc w:val="both"/>
        <w:spacing w:before="0" w:after="7089" w:line="322" w:lineRule="exact"/>
        <w:ind w:left="8780" w:right="0" w:firstLine="0"/>
      </w:pPr>
      <w:r>
        <w:rPr>
          <w:lang w:val="ru-RU" w:eastAsia="ru-RU" w:bidi="ru-RU"/>
          <w:w w:val="100"/>
          <w:spacing w:val="0"/>
          <w:color w:val="000000"/>
          <w:position w:val="0"/>
        </w:rPr>
        <w:t>Э.З.</w:t>
        <w:tab/>
        <w:t>Гугава</w:t>
      </w:r>
    </w:p>
    <w:p>
      <w:pPr>
        <w:pStyle w:val="Style17"/>
        <w:widowControl w:val="0"/>
        <w:keepNext w:val="0"/>
        <w:keepLines w:val="0"/>
        <w:shd w:val="clear" w:color="auto" w:fill="auto"/>
        <w:bidi w:val="0"/>
        <w:jc w:val="left"/>
        <w:spacing w:before="0" w:after="0"/>
        <w:ind w:left="20" w:right="7520" w:firstLine="0"/>
      </w:pPr>
      <w:r>
        <w:rPr>
          <w:lang w:val="ru-RU" w:eastAsia="ru-RU" w:bidi="ru-RU"/>
          <w:w w:val="100"/>
          <w:spacing w:val="0"/>
          <w:color w:val="000000"/>
          <w:position w:val="0"/>
        </w:rPr>
        <w:t>Исп. Гугава Эдуард Звиадович 8 (495)784-75-05</w:t>
      </w:r>
    </w:p>
    <w:sectPr>
      <w:headerReference w:type="default" r:id="rId5"/>
      <w:footerReference w:type="default" r:id="rId6"/>
      <w:footerReference w:type="first" r:id="rId7"/>
      <w:titlePg/>
      <w:footnotePr>
        <w:pos w:val="pageBottom"/>
        <w:numFmt w:val="decimal"/>
        <w:numRestart w:val="continuous"/>
      </w:footnotePr>
      <w:type w:val="continuous"/>
      <w:pgSz w:w="11909" w:h="16838"/>
      <w:pgMar w:top="1118" w:left="907" w:right="787" w:bottom="10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46.3pt;margin-top:795.45pt;width:57.1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2022-37707</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5.85pt;margin-top:797.75pt;width:57.1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2022-37707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298.3pt;margin-top:34.75pt;width:5.3pt;height:7.9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29.06.%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24.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28.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Колонтитул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Штрих-код (2)_"/>
    <w:basedOn w:val="DefaultParagraphFont"/>
    <w:link w:val="Style1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
    <w:basedOn w:val="CharStyle5"/>
    <w:rPr>
      <w:lang w:val="ru-RU" w:eastAsia="ru-RU" w:bidi="ru-RU"/>
      <w:u w:val="single"/>
      <w:w w:val="100"/>
      <w:spacing w:val="0"/>
      <w:color w:val="000000"/>
      <w:position w:val="0"/>
    </w:rPr>
  </w:style>
  <w:style w:type="character" w:customStyle="1" w:styleId="CharStyle15">
    <w:name w:val="Заголовок №1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 Курсив"/>
    <w:basedOn w:val="CharStyle5"/>
    <w:rPr>
      <w:lang w:val="ru-RU" w:eastAsia="ru-RU" w:bidi="ru-RU"/>
      <w:i/>
      <w:iCs/>
      <w:w w:val="100"/>
      <w:spacing w:val="0"/>
      <w:color w:val="000000"/>
      <w:position w:val="0"/>
    </w:rPr>
  </w:style>
  <w:style w:type="character" w:customStyle="1" w:styleId="CharStyle18">
    <w:name w:val="Основной текст (3)_"/>
    <w:basedOn w:val="DefaultParagraphFont"/>
    <w:link w:val="Style17"/>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Колонтитул"/>
    <w:basedOn w:val="Normal"/>
    <w:link w:val="CharStyle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before="5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Штрих-код (2)"/>
    <w:basedOn w:val="Normal"/>
    <w:link w:val="CharStyle1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spacing w:before="7020" w:line="235"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er" Target="footer2.xml"/></Relationships>
</file>