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3" w:line="260" w:lineRule="exact"/>
        <w:ind w:left="5340" w:right="0" w:firstLine="0"/>
      </w:pPr>
      <w:r>
        <w:rPr>
          <w:lang w:val="ru-RU" w:eastAsia="ru-RU" w:bidi="ru-RU"/>
          <w:w w:val="100"/>
          <w:spacing w:val="0"/>
          <w:color w:val="000000"/>
          <w:position w:val="0"/>
        </w:rPr>
        <w:t>ГКУ «ЦСТиСК» Москомспорта</w:t>
      </w:r>
    </w:p>
    <w:p>
      <w:pPr>
        <w:pStyle w:val="Style5"/>
        <w:widowControl w:val="0"/>
        <w:keepNext w:val="0"/>
        <w:keepLines w:val="0"/>
        <w:shd w:val="clear" w:color="auto" w:fill="auto"/>
        <w:bidi w:val="0"/>
        <w:jc w:val="left"/>
        <w:spacing w:before="0" w:after="349" w:line="322" w:lineRule="exact"/>
        <w:ind w:left="5340" w:right="580" w:firstLine="0"/>
      </w:pPr>
      <w:r>
        <w:rPr>
          <w:lang w:val="ru-RU" w:eastAsia="ru-RU" w:bidi="ru-RU"/>
          <w:w w:val="100"/>
          <w:spacing w:val="0"/>
          <w:color w:val="000000"/>
          <w:position w:val="0"/>
        </w:rPr>
        <w:t>Лужники ул., д. 24, стр. 9, г. Москва, 119048</w:t>
      </w:r>
    </w:p>
    <w:p>
      <w:pPr>
        <w:pStyle w:val="Style5"/>
        <w:widowControl w:val="0"/>
        <w:keepNext w:val="0"/>
        <w:keepLines w:val="0"/>
        <w:shd w:val="clear" w:color="auto" w:fill="auto"/>
        <w:bidi w:val="0"/>
        <w:jc w:val="left"/>
        <w:spacing w:before="0" w:after="313" w:line="260" w:lineRule="exact"/>
        <w:ind w:left="5340" w:right="0" w:firstLine="0"/>
      </w:pPr>
      <w:r>
        <w:rPr>
          <w:lang w:val="ru-RU" w:eastAsia="ru-RU" w:bidi="ru-RU"/>
          <w:w w:val="100"/>
          <w:spacing w:val="0"/>
          <w:color w:val="000000"/>
          <w:position w:val="0"/>
        </w:rPr>
        <w:t>ООО «Малибу Спорт»</w:t>
      </w:r>
    </w:p>
    <w:p>
      <w:pPr>
        <w:pStyle w:val="Style5"/>
        <w:widowControl w:val="0"/>
        <w:keepNext w:val="0"/>
        <w:keepLines w:val="0"/>
        <w:shd w:val="clear" w:color="auto" w:fill="auto"/>
        <w:bidi w:val="0"/>
        <w:jc w:val="left"/>
        <w:spacing w:before="0" w:after="1740" w:line="322" w:lineRule="exact"/>
        <w:ind w:left="5340" w:right="360" w:firstLine="0"/>
      </w:pPr>
      <w:r>
        <w:rPr>
          <w:lang w:val="ru-RU" w:eastAsia="ru-RU" w:bidi="ru-RU"/>
          <w:w w:val="100"/>
          <w:spacing w:val="0"/>
          <w:color w:val="000000"/>
          <w:position w:val="0"/>
        </w:rPr>
        <w:t>ул. Мамина-Сибиряка, д. 101, оф. 505, г. Екатеринбург, 620075</w:t>
      </w:r>
    </w:p>
    <w:p>
      <w:pPr>
        <w:pStyle w:val="Style11"/>
        <w:tabs>
          <w:tab w:leader="none" w:pos="11334" w:val="right"/>
          <w:tab w:leader="none" w:pos="12385" w:val="right"/>
        </w:tabs>
        <w:widowControl w:val="0"/>
        <w:keepNext w:val="0"/>
        <w:keepLines w:val="0"/>
        <w:shd w:val="clear" w:color="auto" w:fill="auto"/>
        <w:bidi w:val="0"/>
        <w:jc w:val="left"/>
        <w:spacing w:before="0" w:after="0"/>
        <w:ind w:left="2300" w:right="2280" w:firstLine="2080"/>
      </w:pPr>
      <w:r>
        <w:rPr>
          <w:lang w:val="ru-RU" w:eastAsia="ru-RU" w:bidi="ru-RU"/>
          <w:w w:val="100"/>
          <w:spacing w:val="0"/>
          <w:color w:val="000000"/>
          <w:position w:val="0"/>
        </w:rPr>
        <w:t>РЕШЕНИЕ по делу № 077/06/106-9928/2022 о нарушении законодательства о контрактной системе</w:t>
      </w:r>
    </w:p>
    <w:p>
      <w:pPr>
        <w:pStyle w:val="Style11"/>
        <w:numPr>
          <w:ilvl w:val="0"/>
          <w:numId w:val="1"/>
        </w:numPr>
        <w:tabs>
          <w:tab w:leader="none" w:pos="9074" w:val="right"/>
          <w:tab w:leader="none" w:pos="10125" w:val="right"/>
          <w:tab w:leader="none" w:pos="8930"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г.</w:t>
        <w:tab/>
        <w:t>Москва</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Специалиста-эксперта разряда отдела обжалования государственных закупок М.О. Мацневой,</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Специалиста 1 разряда отдела обжалования государственных закупок</w:t>
      </w:r>
    </w:p>
    <w:p>
      <w:pPr>
        <w:pStyle w:val="Style5"/>
        <w:tabs>
          <w:tab w:leader="none" w:pos="659"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Э.З.</w:t>
        <w:tab/>
        <w:t>Гугава,</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ГКУ «ЦСТиСК» Москомспорта: А.А. Сергеевой (доверенность от 27.12.2021 №74/21),</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 отсутствие представителей ООО «Малибу Спорт», о времени и порядке заседания Комиссии уведомленных письмом Московского УФАС России исх. № ЕИ/33845/22 от 27.06.2022,</w:t>
      </w:r>
    </w:p>
    <w:p>
      <w:pPr>
        <w:pStyle w:val="Style3"/>
        <w:framePr w:w="1685" w:h="394" w:wrap="around" w:vAnchor="text" w:hAnchor="margin" w:x="385" w:y="179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001710957319</w:t>
      </w:r>
    </w:p>
    <w:p>
      <w:pPr>
        <w:pStyle w:val="Style5"/>
        <w:widowControl w:val="0"/>
        <w:keepNext w:val="0"/>
        <w:keepLines w:val="0"/>
        <w:shd w:val="clear" w:color="auto" w:fill="auto"/>
        <w:bidi w:val="0"/>
        <w:jc w:val="both"/>
        <w:spacing w:before="0" w:after="116" w:line="322" w:lineRule="exact"/>
        <w:ind w:left="40" w:right="20" w:firstLine="680"/>
      </w:pPr>
      <w:r>
        <w:rPr>
          <w:lang w:val="ru-RU" w:eastAsia="ru-RU" w:bidi="ru-RU"/>
          <w:w w:val="100"/>
          <w:spacing w:val="0"/>
          <w:color w:val="000000"/>
          <w:position w:val="0"/>
        </w:rPr>
        <w:t>рассмотрев жалобу ООО «Малибу Спорт» (далее — Заявитель) на действия ГКУ «ЦСТиСК» Москомспорта (далее — Заказчик) при проведении открытого конкурса в электронной форме на право заключения государственного контракта на оказание услуг по организации тренировочных и спортивных мероприятий сборных команд города Москвы по олимпийским видам спорта (Закупка</w:t>
      </w:r>
    </w:p>
    <w:p>
      <w:pPr>
        <w:framePr w:h="461" w:wrap="notBeside" w:vAnchor="text" w:hAnchor="text" w:y="1"/>
        <w:widowControl w:val="0"/>
        <w:jc w:val="left"/>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26pt;height:23pt;">
            <v:imagedata r:id="rId5" r:href="rId6"/>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 0373200101022000103) (далее — конкурс),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(в редакции от 02.07.2021 года)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3"/>
        <w:widowControl w:val="0"/>
        <w:keepNext/>
        <w:keepLines/>
        <w:shd w:val="clear" w:color="auto" w:fill="auto"/>
        <w:bidi w:val="0"/>
        <w:jc w:val="left"/>
        <w:spacing w:before="0" w:after="308"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открытого конкурса в электронной форме.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 ЕИ/33845/22 от 27.06.2022.</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в составе жалобы Заявитель указывает на нарушение конкурсной комиссией Заказчика установленного порядка оценки.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Заявитель указывает, что в составе заявки Заявителя представлены документы и сведения, свидетельствующие о наличии у ООО «Малибу Спорт» опыта исполнения сопоставимых контрактов, в то время как в протоколе подведения итогов определения поставщика (подрядчика, исполнителя) от</w:t>
      </w:r>
    </w:p>
    <w:p>
      <w:pPr>
        <w:pStyle w:val="Style5"/>
        <w:numPr>
          <w:ilvl w:val="0"/>
          <w:numId w:val="3"/>
        </w:numPr>
        <w:tabs>
          <w:tab w:leader="none" w:pos="1474"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№ИЭОК1 указано на присвоение заявке Заявителя, по показателю «Наличие у участников закупки опыта оказания услуг, выполнения работ связанного с предметом контракта»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0 баллов, что, по мнению Заявителя, является неправомерным.</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п.3 и п.4 ч.1 ст.32 Закона о контрактной системе критериями оценки этих заявок, окончательных предложений.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Ч.1 ст.32 Закона о контрактной системе установлено, что для оценки заявок участников закупки заказчик использует следующие критерии:</w:t>
      </w:r>
    </w:p>
    <w:p>
      <w:pPr>
        <w:pStyle w:val="Style5"/>
        <w:numPr>
          <w:ilvl w:val="0"/>
          <w:numId w:val="5"/>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цена контракта, сумма цен единиц товара, работы, услуги;</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5"/>
        <w:numPr>
          <w:ilvl w:val="0"/>
          <w:numId w:val="5"/>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качественные, функциональные и экологические характеристики объекта</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закупки;</w:t>
      </w:r>
    </w:p>
    <w:p>
      <w:pPr>
        <w:pStyle w:val="Style5"/>
        <w:numPr>
          <w:ilvl w:val="0"/>
          <w:numId w:val="5"/>
        </w:numPr>
        <w:tabs>
          <w:tab w:leader="none" w:pos="1062"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предмет жалобы о присвоении результатов оценки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что рассмотрение данного довода жалобы не может быть осуществлено Комиссией Управления, ввиду чего данный довод жалобы оставлен Комиссией Управления без рассмотрения на основании ч.6 ст.106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комиссия Управления считает необходимым отметить следующее.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информационной картой открытого конкурса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п.24 Положения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а) наличие у участников закупки финансовых ресурсов;</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г) наличие у участников закупки деловой репутации;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Согласно пп. «а» п.28 Положения для оценки заявок по показателям оценки, в случае применения показателя оценки, предусмотренного пп. «в» п. 24 Положения применяются один или несколько из следующих детализирующих показателей оценки:</w:t>
      </w:r>
    </w:p>
    <w:p>
      <w:pPr>
        <w:pStyle w:val="Style5"/>
        <w:widowControl w:val="0"/>
        <w:keepNext w:val="0"/>
        <w:keepLines w:val="0"/>
        <w:shd w:val="clear" w:color="auto" w:fill="auto"/>
        <w:bidi w:val="0"/>
        <w:jc w:val="left"/>
        <w:spacing w:before="0" w:after="0" w:line="322" w:lineRule="exact"/>
        <w:ind w:left="20" w:right="20" w:firstLine="700"/>
      </w:pPr>
      <w:r>
        <w:rPr>
          <w:lang w:val="ru-RU" w:eastAsia="ru-RU" w:bidi="ru-RU"/>
          <w:w w:val="100"/>
          <w:spacing w:val="0"/>
          <w:color w:val="000000"/>
          <w:position w:val="0"/>
        </w:rPr>
        <w:t>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 Комиссией Управления определено, что согласно извещению о проведении закупочной процедуры Заказчиком установлен в том числе следующий порядок оценки заявок:</w:t>
      </w:r>
    </w:p>
    <w:p>
      <w:pPr>
        <w:pStyle w:val="Style5"/>
        <w:widowControl w:val="0"/>
        <w:keepNext w:val="0"/>
        <w:keepLines w:val="0"/>
        <w:shd w:val="clear" w:color="auto" w:fill="auto"/>
        <w:bidi w:val="0"/>
        <w:jc w:val="both"/>
        <w:spacing w:before="0" w:after="393" w:line="322" w:lineRule="exact"/>
        <w:ind w:left="20" w:right="20" w:firstLine="700"/>
      </w:pPr>
      <w:r>
        <w:rPr>
          <w:lang w:val="ru-RU" w:eastAsia="ru-RU" w:bidi="ru-RU"/>
          <w:w w:val="100"/>
          <w:spacing w:val="0"/>
          <w:color w:val="000000"/>
          <w:position w:val="0"/>
        </w:rPr>
        <w:t>По показателю «Наличие у участников закупки опыта оказания услуг, выполнения работ связанного с предметом контракта»:</w:t>
      </w:r>
    </w:p>
    <w:p>
      <w:pPr>
        <w:pStyle w:val="Style15"/>
        <w:tabs>
          <w:tab w:leader="none" w:pos="3344" w:val="right"/>
        </w:tabs>
        <w:widowControl w:val="0"/>
        <w:keepNext w:val="0"/>
        <w:keepLines w:val="0"/>
        <w:shd w:val="clear" w:color="auto" w:fill="auto"/>
        <w:bidi w:val="0"/>
        <w:spacing w:before="0" w:after="0" w:line="280" w:lineRule="exact"/>
        <w:ind w:left="800" w:right="0" w:firstLine="0"/>
      </w:pPr>
      <w:r>
        <w:rPr>
          <w:lang w:val="ru-RU" w:eastAsia="ru-RU" w:bidi="ru-RU"/>
          <w:w w:val="100"/>
          <w:color w:val="000000"/>
          <w:position w:val="0"/>
        </w:rPr>
        <w:t xml:space="preserve">БХ,= ( </w:t>
      </w:r>
      <w:r>
        <w:rPr>
          <w:rStyle w:val="CharStyle17"/>
          <w:b/>
          <w:bCs/>
          <w:i/>
          <w:iCs/>
        </w:rPr>
        <w:t>Х-Х</w:t>
      </w:r>
      <w:r>
        <w:rPr>
          <w:rStyle w:val="CharStyle17"/>
          <w:vertAlign w:val="subscript"/>
          <w:b/>
          <w:bCs/>
          <w:i/>
          <w:iCs/>
        </w:rPr>
        <w:t>ш</w:t>
      </w:r>
      <w:r>
        <w:rPr>
          <w:rStyle w:val="CharStyle18"/>
          <w:b/>
          <w:bCs/>
          <w:i w:val="0"/>
          <w:iCs w:val="0"/>
        </w:rPr>
        <w:t xml:space="preserve"> )*</w:t>
        <w:tab/>
      </w:r>
      <w:r>
        <w:rPr>
          <w:rStyle w:val="CharStyle19"/>
          <w:vertAlign w:val="superscript"/>
          <w:b w:val="0"/>
          <w:bCs w:val="0"/>
          <w:i w:val="0"/>
          <w:iCs w:val="0"/>
        </w:rPr>
        <w:t>100</w:t>
      </w:r>
    </w:p>
    <w:p>
      <w:pPr>
        <w:pStyle w:val="Style15"/>
        <w:widowControl w:val="0"/>
        <w:keepNext w:val="0"/>
        <w:keepLines w:val="0"/>
        <w:shd w:val="clear" w:color="auto" w:fill="auto"/>
        <w:bidi w:val="0"/>
        <w:jc w:val="left"/>
        <w:spacing w:before="0" w:after="0" w:line="210" w:lineRule="exact"/>
        <w:ind w:left="2580" w:right="0" w:firstLine="0"/>
      </w:pPr>
      <w:r>
        <w:rPr>
          <w:lang w:val="en-US" w:eastAsia="en-US" w:bidi="en-US"/>
          <w:vertAlign w:val="superscript"/>
          <w:w w:val="100"/>
          <w:color w:val="000000"/>
          <w:position w:val="0"/>
        </w:rPr>
        <w:t>Xmax-</w:t>
      </w:r>
      <w:r>
        <w:rPr>
          <w:lang w:val="ru-RU" w:eastAsia="ru-RU" w:bidi="ru-RU"/>
          <w:vertAlign w:val="superscript"/>
          <w:w w:val="100"/>
          <w:color w:val="000000"/>
          <w:position w:val="0"/>
        </w:rPr>
        <w:t>Х</w:t>
      </w:r>
      <w:r>
        <w:rPr>
          <w:lang w:val="ru-RU" w:eastAsia="ru-RU" w:bidi="ru-RU"/>
          <w:vertAlign w:val="subscript"/>
          <w:w w:val="100"/>
          <w:color w:val="000000"/>
          <w:position w:val="0"/>
        </w:rPr>
        <w:t>т</w:t>
      </w:r>
      <w:r>
        <w:rPr>
          <w:lang w:val="ru-RU" w:eastAsia="ru-RU" w:bidi="ru-RU"/>
          <w:w w:val="100"/>
          <w:color w:val="000000"/>
          <w:position w:val="0"/>
        </w:rPr>
        <w:t xml:space="preserve"> П</w:t>
      </w:r>
    </w:p>
    <w:p>
      <w:pPr>
        <w:pStyle w:val="Style5"/>
        <w:widowControl w:val="0"/>
        <w:keepNext w:val="0"/>
        <w:keepLines w:val="0"/>
        <w:shd w:val="clear" w:color="auto" w:fill="auto"/>
        <w:bidi w:val="0"/>
        <w:jc w:val="both"/>
        <w:spacing w:before="0" w:after="276" w:line="260" w:lineRule="exact"/>
        <w:ind w:left="20" w:right="0" w:firstLine="0"/>
      </w:pPr>
      <w:r>
        <w:rPr>
          <w:lang w:val="ru-RU" w:eastAsia="ru-RU" w:bidi="ru-RU"/>
          <w:w w:val="100"/>
          <w:spacing w:val="0"/>
          <w:color w:val="000000"/>
          <w:position w:val="0"/>
        </w:rPr>
        <w:t>где:</w:t>
      </w:r>
    </w:p>
    <w:p>
      <w:pPr>
        <w:pStyle w:val="Style5"/>
        <w:widowControl w:val="0"/>
        <w:keepNext w:val="0"/>
        <w:keepLines w:val="0"/>
        <w:shd w:val="clear" w:color="auto" w:fill="auto"/>
        <w:bidi w:val="0"/>
        <w:jc w:val="left"/>
        <w:spacing w:before="0" w:after="0" w:line="280" w:lineRule="exact"/>
        <w:ind w:left="20" w:right="0" w:firstLine="700"/>
      </w:pPr>
      <w:r>
        <w:rPr>
          <w:rStyle w:val="CharStyle20"/>
        </w:rPr>
        <w:t>БХ</w:t>
      </w:r>
      <w:r>
        <w:rPr>
          <w:rStyle w:val="CharStyle21"/>
        </w:rPr>
        <w:t xml:space="preserve"> </w:t>
      </w:r>
      <w:r>
        <w:rPr>
          <w:lang w:val="en-US" w:eastAsia="en-US" w:bidi="en-US"/>
          <w:w w:val="100"/>
          <w:spacing w:val="0"/>
          <w:color w:val="000000"/>
          <w:position w:val="0"/>
        </w:rPr>
        <w:t xml:space="preserve">- </w:t>
      </w:r>
      <w:r>
        <w:rPr>
          <w:lang w:val="ru-RU" w:eastAsia="ru-RU" w:bidi="ru-RU"/>
          <w:w w:val="100"/>
          <w:spacing w:val="0"/>
          <w:color w:val="000000"/>
          <w:position w:val="0"/>
        </w:rPr>
        <w:t>характеристики объекта закупки;</w:t>
      </w:r>
    </w:p>
    <w:p>
      <w:pPr>
        <w:pStyle w:val="Style5"/>
        <w:widowControl w:val="0"/>
        <w:keepNext w:val="0"/>
        <w:keepLines w:val="0"/>
        <w:shd w:val="clear" w:color="auto" w:fill="auto"/>
        <w:bidi w:val="0"/>
        <w:jc w:val="left"/>
        <w:spacing w:before="0" w:after="0" w:line="322" w:lineRule="exact"/>
        <w:ind w:left="20" w:right="20" w:firstLine="700"/>
      </w:pPr>
      <w:r>
        <w:rPr>
          <w:lang w:val="en-US" w:eastAsia="en-US" w:bidi="en-US"/>
          <w:w w:val="100"/>
          <w:spacing w:val="0"/>
          <w:color w:val="000000"/>
          <w:position w:val="0"/>
        </w:rPr>
        <w:t>X</w:t>
      </w:r>
      <w:r>
        <w:rPr>
          <w:rStyle w:val="CharStyle22"/>
        </w:rPr>
        <w:t xml:space="preserve">i </w:t>
      </w:r>
      <w:r>
        <w:rPr>
          <w:lang w:val="ru-RU" w:eastAsia="ru-RU" w:bidi="ru-RU"/>
          <w:w w:val="100"/>
          <w:spacing w:val="0"/>
          <w:color w:val="000000"/>
          <w:position w:val="0"/>
        </w:rPr>
        <w:t>- значение показателя, содержащееся в предложении участника закупки, заявка (часть заявки), которого</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подлежит в соответствии с Федеральным законом от 05.04.2013 №44-ФЗ оценке по показателю;</w:t>
      </w:r>
    </w:p>
    <w:p>
      <w:pPr>
        <w:pStyle w:val="Style5"/>
        <w:widowControl w:val="0"/>
        <w:keepNext w:val="0"/>
        <w:keepLines w:val="0"/>
        <w:shd w:val="clear" w:color="auto" w:fill="auto"/>
        <w:bidi w:val="0"/>
        <w:jc w:val="both"/>
        <w:spacing w:before="0" w:after="0" w:line="322" w:lineRule="exact"/>
        <w:ind w:left="20" w:right="20" w:firstLine="700"/>
      </w:pPr>
      <w:r>
        <w:rPr>
          <w:lang w:val="en-US" w:eastAsia="en-US" w:bidi="en-US"/>
          <w:w w:val="100"/>
          <w:spacing w:val="0"/>
          <w:color w:val="000000"/>
          <w:position w:val="0"/>
        </w:rPr>
        <w:t>X</w:t>
      </w:r>
      <w:r>
        <w:rPr>
          <w:rStyle w:val="CharStyle22"/>
        </w:rPr>
        <w:t xml:space="preserve">min </w:t>
      </w:r>
      <w:r>
        <w:rPr>
          <w:lang w:val="ru-RU" w:eastAsia="ru-RU" w:bidi="ru-RU"/>
          <w:w w:val="100"/>
          <w:spacing w:val="0"/>
          <w:color w:val="000000"/>
          <w:position w:val="0"/>
        </w:rPr>
        <w:t>- минимальное значение показателя, содержащееся в заявках (частях заявок), подлежащих в соответствии с Федеральным законом от 05.04.2013 №44-ФЗ оценке по показателю;</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X </w:t>
      </w:r>
      <w:r>
        <w:rPr>
          <w:rStyle w:val="CharStyle22"/>
        </w:rPr>
        <w:t>max</w:t>
      </w:r>
      <w:r>
        <w:rPr>
          <w:lang w:val="ru-RU" w:eastAsia="ru-RU" w:bidi="ru-RU"/>
          <w:w w:val="100"/>
          <w:spacing w:val="0"/>
          <w:color w:val="000000"/>
          <w:position w:val="0"/>
        </w:rPr>
        <w:t>-максимальное значение показателя, содержащееся в заявках (частях заявок), подлежащих в соответствии с Федеральным законом от 05.04.2013 №44-ФЗ оценке по показателю.</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применяются показатели оценки.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отношении каждого показателя оценки устанавливается значимость показателя оценки. Сумма величин значимости всех применяемых показателей оценки по критерию оценки составляет 100 процентов.</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Подтверждение опыта работы участника закупки по успешному оказанию услуг связанного с предметом контракта.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оценке заявок по данному критерию лучшим условием исполнения контракта по указанному критерию признается предложение участника конкурса, набравшего наибольшее количество баллов по данному критерию (максимальное кол-во баллов — 100).</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Для показателей оценки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применяются детализирующие показатели.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 оказание услуг, по организации (обеспечению проведения) мероприятий, связанных с предметом контракта, включающих комплексную услугу по организации питания, проживания и аренде сооружений (залов). Оценивается суммарный объем оказанных услуг сопоставимого характера в соответствии с детализацией по статьям затрат, исчисляемый в рублях.</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а также документ, подтверждающий оплату по представленным договорам.</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Последний акт, составленный при исполнении договора, должен быть подписан не ранее чем за 5 лет до даты окончания срока подачи заявок.</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Копии указанных документов должны быть представлены в полном объеме со всеми приложениями, являющимися их неотъемлемой частью (должны быть представлены все страницы контрактов (договоров), а также актов оказанных услуг).</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представленные документы должны быть в виде неповторяющихся, полно читаемых копий, на которых видны необходимые сведения, подписи и печати.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проведении закрытого конкурса направляются документы или заверенные участником закупки их копии.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В случае если контракты заключены в электронной форме, опыт может быть подтвержден размещенными на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«Информацией о заключенном контракте (его изменении)» и «Информацией об исполнении (о расторжении) контракта» при условии предоставления в составе заявки формы «СВОДНЫЕ СВЕДЕНИЯ о наличии у наименование участника опыта работы, связанного с предметом контракта», содержащей данные о реестровом номере закупки, номере контракта, дате заключения, предмете, сумме контракта, дате исполнения контракта.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Рекомендуемая форма «СВОДНЫЕ СВЕДЕНИЯ о наличии у наименование участника опыта работы, связанного с предметом контракта» приведена в Приложении № 1 «СВОДНЫЕ СВЕДЕНИЯ о наличии у наименование участника опыта работы, связанного с предметом контракта» к настоящим критериям оценки заявок участников закупки.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конкурсе либо информацией, размещенной на сайте Единой информационной системы в сфере закупок </w:t>
      </w:r>
      <w:r>
        <w:rPr>
          <w:lang w:val="en-US" w:eastAsia="en-US" w:bidi="en-US"/>
          <w:w w:val="100"/>
          <w:spacing w:val="0"/>
          <w:color w:val="000000"/>
          <w:position w:val="0"/>
        </w:rPr>
        <w:t>zakupki.gov.ru».</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конкурсной комиссией Заказчика, при оценке заявки Заявителя по показателю «Наличие у участников закупки опыта поставки товара, выполнения работы, оказания услуги, связанного с предметом контракта», были учтены сведения о 5 представленных в составе заявки контрактах на общую сумму 18 844 000,43 руб., при этом присвоение заявке Заявителя 0 баллов по данному показателю обусловлено особенностью применения формулы, установленной в порядке оценки в соответствии с пп.«б» п.20 Положения.</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п.26 Положения оценка заявок по критерию оценки «квалификация участников закупки» осуществляется с учетом требований настоящего раздела в порядке, установленном пунктами 20 - 23 раздела IV настоящего Положения для оценки заявок по критерию оценки «характеристики объекта закупки».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пп.«б» п.20 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Законом о контрактной системе оценке по критерию оценки «характеристики объекта закупки» (БХ^, рассчитывается, если луч</w:t>
      </w:r>
      <w:r>
        <w:rPr>
          <w:rStyle w:val="CharStyle23"/>
        </w:rPr>
        <w:t>ши</w:t>
      </w:r>
      <w:r>
        <w:rPr>
          <w:lang w:val="ru-RU" w:eastAsia="ru-RU" w:bidi="ru-RU"/>
          <w:w w:val="100"/>
          <w:spacing w:val="0"/>
          <w:color w:val="000000"/>
          <w:position w:val="0"/>
        </w:rPr>
        <w:t>м является наибольшее значение характеристики объекта закупки, - по формуле:</w:t>
      </w:r>
    </w:p>
    <w:p>
      <w:pPr>
        <w:framePr w:h="672" w:wrap="notBeside" w:vAnchor="text" w:hAnchor="text" w:xAlign="center" w:y="1"/>
        <w:widowControl w:val="0"/>
        <w:jc w:val="center"/>
        <w:rPr>
          <w:sz w:val="2"/>
          <w:szCs w:val="2"/>
        </w:rPr>
      </w:pPr>
      <w:r>
        <w:pict>
          <v:shape id="_x0000_s1027" type="#_x0000_t75" style="width:174pt;height:34pt;">
            <v:imagedata r:id="rId7" r:href="rId8"/>
          </v:shape>
        </w:pict>
      </w:r>
    </w:p>
    <w:p>
      <w:pPr>
        <w:widowControl w:val="0"/>
        <w:rPr>
          <w:sz w:val="2"/>
          <w:szCs w:val="2"/>
        </w:rPr>
      </w:pPr>
    </w:p>
    <w:p>
      <w:pPr>
        <w:pStyle w:val="Style5"/>
        <w:widowControl w:val="0"/>
        <w:keepNext w:val="0"/>
        <w:keepLines w:val="0"/>
        <w:shd w:val="clear" w:color="auto" w:fill="auto"/>
        <w:bidi w:val="0"/>
        <w:jc w:val="both"/>
        <w:spacing w:before="342" w:after="0" w:line="260" w:lineRule="exact"/>
        <w:ind w:left="20" w:right="0" w:firstLine="680"/>
      </w:pPr>
      <w:r>
        <w:rPr>
          <w:lang w:val="ru-RU" w:eastAsia="ru-RU" w:bidi="ru-RU"/>
          <w:w w:val="100"/>
          <w:spacing w:val="0"/>
          <w:color w:val="000000"/>
          <w:position w:val="0"/>
        </w:rPr>
        <w:t>где:</w:t>
      </w:r>
    </w:p>
    <w:p>
      <w:pPr>
        <w:pStyle w:val="Style5"/>
        <w:tabs>
          <w:tab w:leader="none" w:pos="3039" w:val="center"/>
          <w:tab w:leader="none" w:pos="5362" w:val="right"/>
          <w:tab w:leader="none" w:pos="5506" w:val="left"/>
        </w:tabs>
        <w:widowControl w:val="0"/>
        <w:keepNext w:val="0"/>
        <w:keepLines w:val="0"/>
        <w:shd w:val="clear" w:color="auto" w:fill="auto"/>
        <w:bidi w:val="0"/>
        <w:jc w:val="both"/>
        <w:spacing w:before="0" w:after="0" w:line="322" w:lineRule="exact"/>
        <w:ind w:left="20" w:right="0" w:firstLine="680"/>
      </w:pPr>
      <w:r>
        <w:rPr>
          <w:lang w:val="en-US" w:eastAsia="en-US" w:bidi="en-US"/>
          <w:w w:val="100"/>
          <w:spacing w:val="0"/>
          <w:color w:val="000000"/>
          <w:position w:val="0"/>
        </w:rPr>
        <w:t xml:space="preserve">Xmax </w:t>
      </w:r>
      <w:r>
        <w:rPr>
          <w:lang w:val="ru-RU" w:eastAsia="ru-RU" w:bidi="ru-RU"/>
          <w:w w:val="100"/>
          <w:spacing w:val="0"/>
          <w:color w:val="000000"/>
          <w:position w:val="0"/>
        </w:rPr>
        <w:t>-</w:t>
        <w:tab/>
        <w:t>максимальное</w:t>
        <w:tab/>
        <w:t>значение</w:t>
        <w:tab/>
        <w:t>характеристики объекта закупки,</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содержащееся в заявках (частях заявок), подлежащих в соответствии с Федеральным законом оценке по критерию оценки «характеристики объекта закупки»;</w:t>
      </w:r>
    </w:p>
    <w:p>
      <w:pPr>
        <w:pStyle w:val="Style5"/>
        <w:widowControl w:val="0"/>
        <w:keepNext w:val="0"/>
        <w:keepLines w:val="0"/>
        <w:shd w:val="clear" w:color="auto" w:fill="auto"/>
        <w:bidi w:val="0"/>
        <w:jc w:val="both"/>
        <w:spacing w:before="0" w:after="0" w:line="322" w:lineRule="exact"/>
        <w:ind w:left="20" w:right="20" w:firstLine="680"/>
      </w:pPr>
      <w:r>
        <w:rPr>
          <w:lang w:val="en-US" w:eastAsia="en-US" w:bidi="en-US"/>
          <w:w w:val="100"/>
          <w:spacing w:val="0"/>
          <w:color w:val="000000"/>
          <w:position w:val="0"/>
        </w:rPr>
        <w:t xml:space="preserve">Xi </w:t>
      </w:r>
      <w:r>
        <w:rPr>
          <w:lang w:val="ru-RU" w:eastAsia="ru-RU" w:bidi="ru-RU"/>
          <w:w w:val="100"/>
          <w:spacing w:val="0"/>
          <w:color w:val="000000"/>
          <w:position w:val="0"/>
        </w:rPr>
        <w:t>-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 «характеристики объекта закупки»;</w:t>
      </w:r>
    </w:p>
    <w:p>
      <w:pPr>
        <w:pStyle w:val="Style5"/>
        <w:tabs>
          <w:tab w:leader="none" w:pos="3039" w:val="center"/>
          <w:tab w:leader="none" w:pos="5362" w:val="right"/>
          <w:tab w:leader="none" w:pos="5506" w:val="left"/>
        </w:tabs>
        <w:widowControl w:val="0"/>
        <w:keepNext w:val="0"/>
        <w:keepLines w:val="0"/>
        <w:shd w:val="clear" w:color="auto" w:fill="auto"/>
        <w:bidi w:val="0"/>
        <w:jc w:val="both"/>
        <w:spacing w:before="0" w:after="0" w:line="322" w:lineRule="exact"/>
        <w:ind w:left="20" w:right="0" w:firstLine="680"/>
      </w:pPr>
      <w:r>
        <w:rPr>
          <w:lang w:val="en-US" w:eastAsia="en-US" w:bidi="en-US"/>
          <w:w w:val="100"/>
          <w:spacing w:val="0"/>
          <w:color w:val="000000"/>
          <w:position w:val="0"/>
        </w:rPr>
        <w:t xml:space="preserve">Xmin </w:t>
      </w:r>
      <w:r>
        <w:rPr>
          <w:lang w:val="ru-RU" w:eastAsia="ru-RU" w:bidi="ru-RU"/>
          <w:w w:val="100"/>
          <w:spacing w:val="0"/>
          <w:color w:val="000000"/>
          <w:position w:val="0"/>
        </w:rPr>
        <w:t>-</w:t>
        <w:tab/>
        <w:t>минимальное</w:t>
        <w:tab/>
        <w:t>значение</w:t>
        <w:tab/>
        <w:t>характеристики объекта закупки,</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содержащееся в заявках (частях заявок), подлежащих в соответствии с Федеральным законом оценке по критерию оценки «характеристики объекта закупки».</w:t>
      </w:r>
    </w:p>
    <w:p>
      <w:pPr>
        <w:pStyle w:val="Style5"/>
        <w:tabs>
          <w:tab w:leader="none" w:pos="3039" w:val="center"/>
          <w:tab w:leader="none" w:pos="5362" w:val="right"/>
          <w:tab w:leader="none" w:pos="5510"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Комиссия</w:t>
        <w:tab/>
        <w:t>Управления</w:t>
        <w:tab/>
        <w:t>отмечает,</w:t>
        <w:tab/>
        <w:t>что из буквального толкования</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вышеуказанной формулы, при которой заказчик не устанавливает предельное (предельные) значение (значения), предусматривает присвоение баллов, исходя из нижеследующего:</w:t>
      </w:r>
    </w:p>
    <w:p>
      <w:pPr>
        <w:pStyle w:val="Style5"/>
        <w:widowControl w:val="0"/>
        <w:keepNext w:val="0"/>
        <w:keepLines w:val="0"/>
        <w:shd w:val="clear" w:color="auto" w:fill="auto"/>
        <w:bidi w:val="0"/>
        <w:jc w:val="left"/>
        <w:spacing w:before="0" w:after="0" w:line="322" w:lineRule="exact"/>
        <w:ind w:left="20" w:right="20" w:firstLine="680"/>
      </w:pPr>
      <w:r>
        <w:rPr>
          <w:lang w:val="ru-RU" w:eastAsia="ru-RU" w:bidi="ru-RU"/>
          <w:w w:val="100"/>
          <w:spacing w:val="0"/>
          <w:color w:val="000000"/>
          <w:position w:val="0"/>
        </w:rPr>
        <w:t>заявке, содержащей наилучшее значение, присваивается 100 баллов; заявке, содержащей наихудшее значение, присваивается 0 баллов; иным заявкам баллы присваиваются между наилучшим и наихудшим значениями (экстремумы), исходя из цены деления, рассчитываемого (в рамках «правого компонента» каждой формулы) на основании предложенных участниками закупки наилучшим и наихудшим значений.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При этом подход, при котором оценка заявок осуществляется от 0 до 100 баллов между наихудшим и наилучшим значениями из представленных в таких заявках, обусловлен тем, что заранее не известны и не ограничиваются значения, которые могут быть предложены разными участниками закупки, аналогичная позиция отражена в информационном письме Минфина России от 14.02.2022 № 24-01-09/10138 «О направлении информации о применении Федерального закона от 5 апреля 2013 г. № 44-ФЗ в редакции Федерального закона от 2 июля 2021 г. № 360-</w:t>
      </w:r>
    </w:p>
    <w:p>
      <w:pPr>
        <w:pStyle w:val="Style5"/>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ФЗ».</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согласно протоколу подведения итогов определения поставщика (подрядчика, исполнителя) от 20.06.2022 №ИЭОК1, ООО «Малибу Спорт» представлено минимальное предложение по показателю «наличие у участников закупки опыта поставки товара, выполнения работы, оказания услуги, связанного с предметом контракта», ввиду чего конкурсной комиссией Заказчика правомерно присвоено заявке Заявителя 0 баллов</w:t>
        <w:br w:type="page"/>
        <w:t>по показателю «наличие у участников закупки опыта работы, связанного с предметом контракта».</w:t>
      </w:r>
    </w:p>
    <w:p>
      <w:pPr>
        <w:pStyle w:val="Style5"/>
        <w:widowControl w:val="0"/>
        <w:keepNext w:val="0"/>
        <w:keepLines w:val="0"/>
        <w:shd w:val="clear" w:color="auto" w:fill="auto"/>
        <w:bidi w:val="0"/>
        <w:jc w:val="both"/>
        <w:spacing w:before="0" w:after="0" w:line="322" w:lineRule="exact"/>
        <w:ind w:left="0" w:right="40" w:firstLine="680"/>
      </w:pPr>
      <w:r>
        <w:rPr>
          <w:lang w:val="ru-RU" w:eastAsia="ru-RU" w:bidi="ru-RU"/>
          <w:w w:val="100"/>
          <w:spacing w:val="0"/>
          <w:color w:val="000000"/>
          <w:position w:val="0"/>
        </w:rPr>
        <w:t>На основании вышеизложенного, Комиссия Управления приходит к выводу, что доводы жалобы Заявителя не нашли своего подтверждения и являются необоснованными.</w:t>
      </w:r>
    </w:p>
    <w:p>
      <w:pPr>
        <w:pStyle w:val="Style5"/>
        <w:widowControl w:val="0"/>
        <w:keepNext w:val="0"/>
        <w:keepLines w:val="0"/>
        <w:shd w:val="clear" w:color="auto" w:fill="auto"/>
        <w:bidi w:val="0"/>
        <w:jc w:val="both"/>
        <w:spacing w:before="0" w:after="349" w:line="322" w:lineRule="exact"/>
        <w:ind w:left="0" w:right="4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13"/>
        <w:widowControl w:val="0"/>
        <w:keepNext/>
        <w:keepLines/>
        <w:shd w:val="clear" w:color="auto" w:fill="auto"/>
        <w:bidi w:val="0"/>
        <w:jc w:val="left"/>
        <w:spacing w:before="0" w:after="299" w:line="260" w:lineRule="exact"/>
        <w:ind w:left="4580" w:right="0" w:firstLine="0"/>
      </w:pPr>
      <w:bookmarkStart w:id="1" w:name="bookmark1"/>
      <w:r>
        <w:rPr>
          <w:lang w:val="ru-RU" w:eastAsia="ru-RU" w:bidi="ru-RU"/>
          <w:w w:val="100"/>
          <w:spacing w:val="0"/>
          <w:color w:val="000000"/>
          <w:position w:val="0"/>
        </w:rPr>
        <w:t>Р Е Ш И Л А:</w:t>
      </w:r>
      <w:bookmarkEnd w:id="1"/>
    </w:p>
    <w:p>
      <w:pPr>
        <w:pStyle w:val="Style5"/>
        <w:numPr>
          <w:ilvl w:val="0"/>
          <w:numId w:val="7"/>
        </w:numPr>
        <w:widowControl w:val="0"/>
        <w:keepNext w:val="0"/>
        <w:keepLines w:val="0"/>
        <w:shd w:val="clear" w:color="auto" w:fill="auto"/>
        <w:bidi w:val="0"/>
        <w:jc w:val="both"/>
        <w:spacing w:before="0" w:after="0" w:line="326" w:lineRule="exact"/>
        <w:ind w:left="0" w:right="40" w:firstLine="680"/>
      </w:pPr>
      <w:r>
        <w:rPr>
          <w:lang w:val="ru-RU" w:eastAsia="ru-RU" w:bidi="ru-RU"/>
          <w:w w:val="100"/>
          <w:spacing w:val="0"/>
          <w:color w:val="000000"/>
          <w:position w:val="0"/>
        </w:rPr>
        <w:t>Признать жалобу ООО «Малибу Спорт» на действия конкурсной комиссии ГКУ «ЦСТиСК» Москомспорта необоснованной.</w:t>
      </w:r>
    </w:p>
    <w:p>
      <w:pPr>
        <w:pStyle w:val="Style5"/>
        <w:numPr>
          <w:ilvl w:val="0"/>
          <w:numId w:val="7"/>
        </w:numPr>
        <w:widowControl w:val="0"/>
        <w:keepNext w:val="0"/>
        <w:keepLines w:val="0"/>
        <w:shd w:val="clear" w:color="auto" w:fill="auto"/>
        <w:bidi w:val="0"/>
        <w:jc w:val="both"/>
        <w:spacing w:before="0" w:after="300" w:line="322" w:lineRule="exact"/>
        <w:ind w:left="0" w:right="40" w:firstLine="680"/>
      </w:pPr>
      <w:r>
        <w:rPr>
          <w:lang w:val="ru-RU" w:eastAsia="ru-RU" w:bidi="ru-RU"/>
          <w:w w:val="100"/>
          <w:spacing w:val="0"/>
          <w:color w:val="000000"/>
          <w:position w:val="0"/>
        </w:rPr>
        <w:t>Снять ограничения на определение поставщика (подрядчика, исполнителя), наложенные письмом Московского УФАС России № ЕИ/33845/22 от 27.06.2022.</w:t>
      </w:r>
    </w:p>
    <w:p>
      <w:pPr>
        <w:pStyle w:val="Style5"/>
        <w:widowControl w:val="0"/>
        <w:keepNext w:val="0"/>
        <w:keepLines w:val="0"/>
        <w:shd w:val="clear" w:color="auto" w:fill="auto"/>
        <w:bidi w:val="0"/>
        <w:jc w:val="both"/>
        <w:spacing w:before="0" w:after="600" w:line="322" w:lineRule="exact"/>
        <w:ind w:left="0" w:right="4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5"/>
        <w:framePr w:w="2973" w:h="633" w:wrap="around" w:vAnchor="text" w:hAnchor="margin" w:x="-71" w:y="-55"/>
        <w:widowControl w:val="0"/>
        <w:keepNext w:val="0"/>
        <w:keepLines w:val="0"/>
        <w:shd w:val="clear" w:color="auto" w:fill="auto"/>
        <w:bidi w:val="0"/>
        <w:jc w:val="both"/>
        <w:spacing w:before="0" w:after="0" w:line="317" w:lineRule="exact"/>
        <w:ind w:left="0" w:right="100" w:firstLine="0"/>
      </w:pPr>
      <w:r>
        <w:rPr>
          <w:rStyle w:val="CharStyle6"/>
          <w:spacing w:val="0"/>
        </w:rPr>
        <w:t>Председательствующий Члены Комиссии:</w:t>
      </w:r>
    </w:p>
    <w:p>
      <w:pPr>
        <w:pStyle w:val="Style5"/>
        <w:widowControl w:val="0"/>
        <w:keepNext w:val="0"/>
        <w:keepLines w:val="0"/>
        <w:shd w:val="clear" w:color="auto" w:fill="auto"/>
        <w:bidi w:val="0"/>
        <w:jc w:val="both"/>
        <w:spacing w:before="0" w:after="0" w:line="322" w:lineRule="exact"/>
        <w:ind w:left="5600" w:right="40" w:firstLine="0"/>
      </w:pPr>
      <w:r>
        <w:rPr>
          <w:lang w:val="ru-RU" w:eastAsia="ru-RU" w:bidi="ru-RU"/>
          <w:w w:val="100"/>
          <w:spacing w:val="0"/>
          <w:color w:val="000000"/>
          <w:position w:val="0"/>
        </w:rPr>
        <w:t>С.И. Казарин М.О. Мацнева</w:t>
      </w:r>
    </w:p>
    <w:p>
      <w:pPr>
        <w:pStyle w:val="Style5"/>
        <w:tabs>
          <w:tab w:leader="none" w:pos="9393" w:val="left"/>
        </w:tabs>
        <w:widowControl w:val="0"/>
        <w:keepNext w:val="0"/>
        <w:keepLines w:val="0"/>
        <w:shd w:val="clear" w:color="auto" w:fill="auto"/>
        <w:bidi w:val="0"/>
        <w:jc w:val="both"/>
        <w:spacing w:before="0" w:after="5773" w:line="322" w:lineRule="exact"/>
        <w:ind w:left="8780" w:right="0" w:firstLine="0"/>
      </w:pPr>
      <w:r>
        <w:rPr>
          <w:lang w:val="ru-RU" w:eastAsia="ru-RU" w:bidi="ru-RU"/>
          <w:w w:val="100"/>
          <w:spacing w:val="0"/>
          <w:color w:val="000000"/>
          <w:position w:val="0"/>
        </w:rPr>
        <w:t>Э.З.</w:t>
        <w:tab/>
        <w:t>Гугава</w:t>
      </w:r>
    </w:p>
    <w:p>
      <w:pPr>
        <w:pStyle w:val="Style24"/>
        <w:widowControl w:val="0"/>
        <w:keepNext w:val="0"/>
        <w:keepLines w:val="0"/>
        <w:shd w:val="clear" w:color="auto" w:fill="auto"/>
        <w:bidi w:val="0"/>
        <w:jc w:val="left"/>
        <w:spacing w:before="0" w:after="0"/>
        <w:ind w:left="0" w:right="7600" w:firstLine="0"/>
      </w:pPr>
      <w:r>
        <w:rPr>
          <w:lang w:val="ru-RU" w:eastAsia="ru-RU" w:bidi="ru-RU"/>
          <w:w w:val="100"/>
          <w:spacing w:val="0"/>
          <w:color w:val="000000"/>
          <w:position w:val="0"/>
        </w:rPr>
        <w:t>Исп. Гугава Эдуард Звиадович 8 (495)784-75-05</w:t>
      </w:r>
    </w:p>
    <w:sectPr>
      <w:headerReference w:type="default" r:id="rId9"/>
      <w:footerReference w:type="default" r:id="rId10"/>
      <w:footerReference w:type="first" r:id="rId11"/>
      <w:titlePg/>
      <w:footnotePr>
        <w:pos w:val="pageBottom"/>
        <w:numFmt w:val="decimal"/>
        <w:numRestart w:val="continuous"/>
      </w:footnotePr>
      <w:type w:val="continuous"/>
      <w:pgSz w:w="11909" w:h="16838"/>
      <w:pgMar w:top="1098" w:left="890" w:right="770" w:bottom="101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6.3pt;margin-top:795.45pt;width:57.1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2022-37786</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6.65pt;margin-top:797.5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2022-37786</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8.3pt;margin-top:35.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29.06.%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20.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Колонтитул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3)_"/>
    <w:basedOn w:val="DefaultParagraphFont"/>
    <w:link w:val="Style15"/>
    <w:rPr>
      <w:b/>
      <w:bCs/>
      <w:i/>
      <w:iCs/>
      <w:u w:val="none"/>
      <w:strike w:val="0"/>
      <w:smallCaps w:val="0"/>
      <w:sz w:val="21"/>
      <w:szCs w:val="21"/>
      <w:rFonts w:ascii="Times New Roman" w:eastAsia="Times New Roman" w:hAnsi="Times New Roman" w:cs="Times New Roman"/>
      <w:spacing w:val="30"/>
    </w:rPr>
  </w:style>
  <w:style w:type="character" w:customStyle="1" w:styleId="CharStyle17">
    <w:name w:val="Основной текст (3) + Интервал 3 pt"/>
    <w:basedOn w:val="CharStyle16"/>
    <w:rPr>
      <w:lang w:val="ru-RU" w:eastAsia="ru-RU" w:bidi="ru-RU"/>
      <w:w w:val="100"/>
      <w:spacing w:val="60"/>
      <w:color w:val="000000"/>
      <w:position w:val="0"/>
    </w:rPr>
  </w:style>
  <w:style w:type="character" w:customStyle="1" w:styleId="CharStyle18">
    <w:name w:val="Основной текст (3) + 14 pt,Не курсив"/>
    <w:basedOn w:val="CharStyle16"/>
    <w:rPr>
      <w:lang w:val="ru-RU" w:eastAsia="ru-RU" w:bidi="ru-RU"/>
      <w:i/>
      <w:iCs/>
      <w:sz w:val="28"/>
      <w:szCs w:val="28"/>
      <w:w w:val="100"/>
      <w:color w:val="000000"/>
      <w:position w:val="0"/>
    </w:rPr>
  </w:style>
  <w:style w:type="character" w:customStyle="1" w:styleId="CharStyle19">
    <w:name w:val="Основной текст (3) + Не полужирный,Не курсив,Интервал 0 pt"/>
    <w:basedOn w:val="CharStyle16"/>
    <w:rPr>
      <w:lang w:val="ru-RU" w:eastAsia="ru-RU" w:bidi="ru-RU"/>
      <w:b/>
      <w:bCs/>
      <w:i/>
      <w:iCs/>
      <w:w w:val="100"/>
      <w:spacing w:val="0"/>
      <w:color w:val="000000"/>
      <w:position w:val="0"/>
    </w:rPr>
  </w:style>
  <w:style w:type="character" w:customStyle="1" w:styleId="CharStyle20">
    <w:name w:val="Основной текст + 10,5 pt,Полужирный,Курсив,Интервал 1 pt"/>
    <w:basedOn w:val="CharStyle7"/>
    <w:rPr>
      <w:lang w:val="ru-RU" w:eastAsia="ru-RU" w:bidi="ru-RU"/>
      <w:b/>
      <w:bCs/>
      <w:i/>
      <w:iCs/>
      <w:sz w:val="21"/>
      <w:szCs w:val="21"/>
      <w:w w:val="100"/>
      <w:spacing w:val="30"/>
      <w:color w:val="000000"/>
      <w:position w:val="0"/>
    </w:rPr>
  </w:style>
  <w:style w:type="character" w:customStyle="1" w:styleId="CharStyle21">
    <w:name w:val="Основной текст + 14 pt,Полужирный,Интервал 1 pt"/>
    <w:basedOn w:val="CharStyle7"/>
    <w:rPr>
      <w:lang w:val="ru-RU" w:eastAsia="ru-RU" w:bidi="ru-RU"/>
      <w:b/>
      <w:bCs/>
      <w:sz w:val="28"/>
      <w:szCs w:val="28"/>
      <w:w w:val="100"/>
      <w:spacing w:val="30"/>
      <w:color w:val="000000"/>
      <w:position w:val="0"/>
    </w:rPr>
  </w:style>
  <w:style w:type="character" w:customStyle="1" w:styleId="CharStyle22">
    <w:name w:val="Основной текст + 6,5 pt"/>
    <w:basedOn w:val="CharStyle7"/>
    <w:rPr>
      <w:lang w:val="en-US" w:eastAsia="en-US" w:bidi="en-US"/>
      <w:sz w:val="13"/>
      <w:szCs w:val="13"/>
      <w:w w:val="100"/>
      <w:spacing w:val="0"/>
      <w:color w:val="000000"/>
      <w:position w:val="0"/>
    </w:rPr>
  </w:style>
  <w:style w:type="character" w:customStyle="1" w:styleId="CharStyle23">
    <w:name w:val="Основной текст"/>
    <w:basedOn w:val="CharStyle7"/>
    <w:rPr>
      <w:lang w:val="ru-RU" w:eastAsia="ru-RU" w:bidi="ru-RU"/>
      <w:u w:val="single"/>
      <w:w w:val="100"/>
      <w:spacing w:val="0"/>
      <w:color w:val="000000"/>
      <w:position w:val="0"/>
    </w:rPr>
  </w:style>
  <w:style w:type="character" w:customStyle="1" w:styleId="CharStyle25">
    <w:name w:val="Основной текст (4)_"/>
    <w:basedOn w:val="DefaultParagraphFont"/>
    <w:link w:val="Style24"/>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Колонтитул"/>
    <w:basedOn w:val="Normal"/>
    <w:link w:val="CharStyle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spacing w:before="17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both"/>
      <w:spacing w:before="360" w:line="0" w:lineRule="exact"/>
    </w:pPr>
    <w:rPr>
      <w:b/>
      <w:bCs/>
      <w:i/>
      <w:iCs/>
      <w:u w:val="none"/>
      <w:strike w:val="0"/>
      <w:smallCaps w:val="0"/>
      <w:sz w:val="21"/>
      <w:szCs w:val="21"/>
      <w:rFonts w:ascii="Times New Roman" w:eastAsia="Times New Roman" w:hAnsi="Times New Roman" w:cs="Times New Roman"/>
      <w:spacing w:val="30"/>
    </w:rPr>
  </w:style>
  <w:style w:type="paragraph" w:customStyle="1" w:styleId="Style24">
    <w:name w:val="Основной текст (4)"/>
    <w:basedOn w:val="Normal"/>
    <w:link w:val="CharStyle25"/>
    <w:pPr>
      <w:widowControl w:val="0"/>
      <w:shd w:val="clear" w:color="auto" w:fill="FFFFFF"/>
      <w:spacing w:before="570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s>
</file>