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h="245" w:wrap="around" w:hAnchor="margin" w:x="4718" w:y="1163"/>
        <w:widowControl w:val="0"/>
        <w:keepNext w:val="0"/>
        <w:keepLines w:val="0"/>
        <w:shd w:val="clear" w:color="auto" w:fill="auto"/>
        <w:bidi w:val="0"/>
        <w:jc w:val="left"/>
        <w:spacing w:before="0" w:after="0" w:line="240" w:lineRule="exact"/>
        <w:ind w:left="100" w:right="0" w:firstLine="0"/>
      </w:pPr>
      <w:r>
        <w:rPr>
          <w:rStyle w:val="CharStyle4"/>
          <w:spacing w:val="0"/>
        </w:rPr>
        <w:t>ФГБУ «ЦЛАТИ по ЦФО»</w:t>
      </w:r>
    </w:p>
    <w:p>
      <w:pPr>
        <w:pStyle w:val="Style11"/>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343" w:right="7391"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123" w:lineRule="exact"/>
        <w:rPr>
          <w:sz w:val="10"/>
          <w:szCs w:val="10"/>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1456" w:h="635" w:wrap="around" w:vAnchor="text" w:hAnchor="margin" w:x="-3887" w:y="57"/>
        <w:widowControl w:val="0"/>
        <w:keepNext w:val="0"/>
        <w:keepLines w:val="0"/>
        <w:shd w:val="clear" w:color="auto" w:fill="auto"/>
        <w:bidi w:val="0"/>
        <w:jc w:val="left"/>
        <w:spacing w:before="0" w:after="260" w:line="170" w:lineRule="exact"/>
        <w:ind w:left="0" w:right="0" w:firstLine="0"/>
      </w:pPr>
      <w:r>
        <w:rPr>
          <w:rStyle w:val="CharStyle15"/>
          <w:b/>
          <w:bCs/>
          <w:spacing w:val="0"/>
        </w:rPr>
        <w:t>УПРАВЛЕ</w:t>
      </w:r>
      <w:r>
        <w:rPr>
          <w:rStyle w:val="CharStyle16"/>
          <w:b/>
          <w:bCs/>
          <w:spacing w:val="0"/>
        </w:rPr>
        <w:t>НИЕ</w:t>
      </w:r>
    </w:p>
    <w:p>
      <w:pPr>
        <w:pStyle w:val="Style11"/>
        <w:framePr w:w="1456" w:h="635" w:wrap="around" w:vAnchor="text" w:hAnchor="margin" w:x="-3887" w:y="57"/>
        <w:widowControl w:val="0"/>
        <w:keepNext w:val="0"/>
        <w:keepLines w:val="0"/>
        <w:shd w:val="clear" w:color="auto" w:fill="auto"/>
        <w:bidi w:val="0"/>
        <w:jc w:val="left"/>
        <w:spacing w:before="0" w:after="0" w:line="170" w:lineRule="exact"/>
        <w:ind w:left="140" w:right="0" w:firstLine="0"/>
      </w:pPr>
      <w:r>
        <w:rPr>
          <w:rStyle w:val="CharStyle15"/>
          <w:b/>
          <w:bCs/>
          <w:spacing w:val="0"/>
        </w:rPr>
        <w:t>по г. Москве</w:t>
      </w:r>
    </w:p>
    <w:p>
      <w:pPr>
        <w:pStyle w:val="Style3"/>
        <w:widowControl w:val="0"/>
        <w:keepNext w:val="0"/>
        <w:keepLines w:val="0"/>
        <w:shd w:val="clear" w:color="auto" w:fill="auto"/>
        <w:bidi w:val="0"/>
        <w:jc w:val="left"/>
        <w:spacing w:before="0" w:after="0" w:line="317" w:lineRule="exact"/>
        <w:ind w:left="0" w:right="380" w:firstLine="0"/>
        <w:sectPr>
          <w:type w:val="continuous"/>
          <w:pgSz w:w="11909" w:h="16838"/>
          <w:pgMar w:top="121" w:left="6148" w:right="1655" w:bottom="371" w:header="0" w:footer="3" w:gutter="0"/>
          <w:rtlGutter w:val="0"/>
          <w:cols w:space="720"/>
          <w:noEndnote/>
          <w:docGrid w:linePitch="360"/>
        </w:sectPr>
      </w:pPr>
      <w:r>
        <w:rPr>
          <w:lang w:val="ru-RU" w:eastAsia="ru-RU" w:bidi="ru-RU"/>
          <w:w w:val="100"/>
          <w:spacing w:val="0"/>
          <w:color w:val="000000"/>
          <w:position w:val="0"/>
        </w:rPr>
        <w:t>ул. Зоологическая, д. 26, стр. 1, г. Москва, 123056</w:t>
      </w:r>
    </w:p>
    <w:p>
      <w:pPr>
        <w:widowControl w:val="0"/>
        <w:spacing w:before="34" w:after="3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281"/>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22"/>
        <w:widowControl w:val="0"/>
        <w:keepNext w:val="0"/>
        <w:keepLines w:val="0"/>
        <w:shd w:val="clear" w:color="auto" w:fill="auto"/>
        <w:bidi w:val="0"/>
        <w:spacing w:before="0" w:after="0" w:line="170" w:lineRule="exact"/>
        <w:ind w:left="0" w:right="0" w:firstLine="0"/>
      </w:pPr>
      <w:r>
        <w:rPr>
          <w:rStyle w:val="CharStyle24"/>
        </w:rPr>
        <w:t>№</w:t>
      </w:r>
    </w:p>
    <w:p>
      <w:pPr>
        <w:pStyle w:val="Style3"/>
        <w:widowControl w:val="0"/>
        <w:keepNext w:val="0"/>
        <w:keepLines w:val="0"/>
        <w:shd w:val="clear" w:color="auto" w:fill="auto"/>
        <w:bidi w:val="0"/>
        <w:jc w:val="both"/>
        <w:spacing w:before="0" w:after="303" w:line="260" w:lineRule="exact"/>
        <w:ind w:left="0" w:right="0" w:firstLine="0"/>
      </w:pPr>
      <w:r>
        <w:rPr>
          <w:lang w:val="ru-RU" w:eastAsia="ru-RU" w:bidi="ru-RU"/>
          <w:w w:val="100"/>
          <w:spacing w:val="0"/>
          <w:color w:val="000000"/>
          <w:position w:val="0"/>
        </w:rPr>
        <w:t>ООО «Простые Решения»</w:t>
      </w:r>
    </w:p>
    <w:p>
      <w:pPr>
        <w:pStyle w:val="Style3"/>
        <w:widowControl w:val="0"/>
        <w:keepNext w:val="0"/>
        <w:keepLines w:val="0"/>
        <w:shd w:val="clear" w:color="auto" w:fill="auto"/>
        <w:bidi w:val="0"/>
        <w:jc w:val="both"/>
        <w:spacing w:before="0" w:after="0" w:line="322" w:lineRule="exact"/>
        <w:ind w:left="0" w:right="0" w:firstLine="0"/>
        <w:sectPr>
          <w:type w:val="continuous"/>
          <w:pgSz w:w="11909" w:h="16838"/>
          <w:pgMar w:top="121" w:left="1075" w:right="1190" w:bottom="371" w:header="0" w:footer="3" w:gutter="0"/>
          <w:rtlGutter w:val="0"/>
          <w:cols w:num="2" w:space="720" w:equalWidth="0">
            <w:col w:w="3715" w:space="1358"/>
            <w:col w:w="4570"/>
          </w:cols>
          <w:noEndnote/>
          <w:docGrid w:linePitch="360"/>
        </w:sectPr>
      </w:pPr>
      <w:r>
        <w:rPr>
          <w:lang w:val="ru-RU" w:eastAsia="ru-RU" w:bidi="ru-RU"/>
          <w:w w:val="100"/>
          <w:spacing w:val="0"/>
          <w:color w:val="000000"/>
          <w:position w:val="0"/>
        </w:rPr>
        <w:t>туп. Магистральный 1-ый, д. 5А, эт. 5, комн. 1П, г. Москва, 123290</w:t>
      </w:r>
    </w:p>
    <w:p>
      <w:pPr>
        <w:widowControl w:val="0"/>
        <w:spacing w:before="11" w:after="1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framePr w:h="160" w:wrap="around" w:vAnchor="text" w:hAnchor="margin" w:x="1910" w:y="12"/>
        <w:widowControl w:val="0"/>
        <w:keepNext w:val="0"/>
        <w:keepLines w:val="0"/>
        <w:shd w:val="clear" w:color="auto" w:fill="auto"/>
        <w:bidi w:val="0"/>
        <w:jc w:val="left"/>
        <w:spacing w:before="0" w:after="0" w:line="160" w:lineRule="exact"/>
        <w:ind w:left="100" w:right="0" w:firstLine="0"/>
      </w:pPr>
      <w:r>
        <w:rPr>
          <w:rStyle w:val="CharStyle26"/>
          <w:spacing w:val="0"/>
        </w:rPr>
        <w:t>от</w:t>
      </w:r>
    </w:p>
    <w:p>
      <w:pPr>
        <w:pStyle w:val="Style27"/>
        <w:widowControl w:val="0"/>
        <w:keepNext w:val="0"/>
        <w:keepLines w:val="0"/>
        <w:shd w:val="clear" w:color="auto" w:fill="auto"/>
        <w:bidi w:val="0"/>
        <w:jc w:val="left"/>
        <w:spacing w:before="0" w:after="424" w:line="170" w:lineRule="exact"/>
        <w:ind w:left="20" w:right="0" w:firstLine="0"/>
      </w:pPr>
      <w:r>
        <w:rPr>
          <w:rStyle w:val="CharStyle29"/>
        </w:rPr>
        <w:t>На№</w:t>
      </w:r>
    </w:p>
    <w:p>
      <w:pPr>
        <w:pStyle w:val="Style30"/>
        <w:widowControl w:val="0"/>
        <w:keepNext w:val="0"/>
        <w:keepLines w:val="0"/>
        <w:shd w:val="clear" w:color="auto" w:fill="auto"/>
        <w:bidi w:val="0"/>
        <w:jc w:val="left"/>
        <w:spacing w:before="0" w:after="0" w:line="420" w:lineRule="exact"/>
        <w:ind w:left="20" w:right="0" w:firstLine="0"/>
        <w:sectPr>
          <w:type w:val="continuous"/>
          <w:pgSz w:w="11909" w:h="16838"/>
          <w:pgMar w:top="121" w:left="868" w:right="10209" w:bottom="371" w:header="0" w:footer="3" w:gutter="0"/>
          <w:rtlGutter w:val="0"/>
          <w:cols w:space="720"/>
          <w:noEndnote/>
          <w:docGrid w:linePitch="360"/>
        </w:sectPr>
      </w:pPr>
      <w:r>
        <w:rPr>
          <w:rStyle w:val="CharStyle32"/>
          <w:b/>
          <w:bCs/>
        </w:rPr>
        <w:t>Г</w:t>
      </w:r>
    </w:p>
    <w:p>
      <w:pPr>
        <w:widowControl w:val="0"/>
        <w:spacing w:before="74" w:after="7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3"/>
        <w:widowControl w:val="0"/>
        <w:keepNext w:val="0"/>
        <w:keepLines w:val="0"/>
        <w:shd w:val="clear" w:color="auto" w:fill="auto"/>
        <w:bidi w:val="0"/>
        <w:spacing w:before="0" w:after="0"/>
        <w:ind w:left="0" w:right="0" w:firstLine="0"/>
        <w:sectPr>
          <w:type w:val="continuous"/>
          <w:pgSz w:w="11909" w:h="16838"/>
          <w:pgMar w:top="121" w:left="3062" w:right="2692" w:bottom="371" w:header="0" w:footer="3" w:gutter="0"/>
          <w:rtlGutter w:val="0"/>
          <w:cols w:space="720"/>
          <w:noEndnote/>
          <w:docGrid w:linePitch="360"/>
        </w:sectPr>
      </w:pPr>
      <w:r>
        <w:rPr>
          <w:lang w:val="ru-RU" w:eastAsia="ru-RU" w:bidi="ru-RU"/>
          <w:w w:val="100"/>
          <w:spacing w:val="0"/>
          <w:color w:val="000000"/>
          <w:position w:val="0"/>
        </w:rPr>
        <w:t>РЕШЕНИЕ по делу № 077/06/106-10007/2022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3"/>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5"/>
          <w:b/>
          <w:bCs/>
          <w:spacing w:val="0"/>
        </w:rPr>
        <w:t>г. Москва</w:t>
      </w:r>
    </w:p>
    <w:p>
      <w:pPr>
        <w:pStyle w:val="Style3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30.06.2022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tabs>
          <w:tab w:leader="none" w:pos="4026"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обжалования государственных закупок С.И. Казарина,</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left"/>
        <w:spacing w:before="0" w:after="0" w:line="322" w:lineRule="exact"/>
        <w:ind w:left="20" w:right="20" w:firstLine="680"/>
      </w:pPr>
      <w:r>
        <w:rPr>
          <w:lang w:val="ru-RU" w:eastAsia="ru-RU" w:bidi="ru-RU"/>
          <w:w w:val="100"/>
          <w:spacing w:val="0"/>
          <w:color w:val="000000"/>
          <w:position w:val="0"/>
        </w:rPr>
        <w:t>при участии представителей: ФГБУ «ЦЛАТИ по ЦФО», ООО «Спектр», в отсутствие представителей ООО «Простые Решения», о времени и порядке заседания Комиссии Управления уведомленных надлежащим образом письмом Московского УФАС России №ЕИ/34043/22 от 27.06.2022,</w:t>
      </w:r>
    </w:p>
    <w:p>
      <w:pPr>
        <w:pStyle w:val="Style3"/>
        <w:widowControl w:val="0"/>
        <w:keepNext w:val="0"/>
        <w:keepLines w:val="0"/>
        <w:shd w:val="clear" w:color="auto" w:fill="auto"/>
        <w:bidi w:val="0"/>
        <w:jc w:val="both"/>
        <w:spacing w:before="0" w:after="176" w:line="322" w:lineRule="exact"/>
        <w:ind w:left="20" w:right="20" w:firstLine="680"/>
      </w:pPr>
      <w:r>
        <w:rPr>
          <w:lang w:val="ru-RU" w:eastAsia="ru-RU" w:bidi="ru-RU"/>
          <w:w w:val="100"/>
          <w:spacing w:val="0"/>
          <w:color w:val="000000"/>
          <w:position w:val="0"/>
        </w:rPr>
        <w:t>рассмотрев жалобу ООО «Простые Решения» (далее — Заявитель) на действия ФГБУ «ЦЛАТИ по ЦФО» (далее — Заказчик) при проведении электронного аукциона на право заключения государственного контракта на поставку нагрудных (портативных) видеорегистраторов для нужд ФГБУ «ЦЛАТИ по ЦФО» (Закупка № 0373100052922000021) (далее - аукцион) в соответствии с Федеральным законом от 05.04.2013 № 44-ФЗ «О контрактной системе в сфере закупок товаров, работ, услуг</w:t>
      </w:r>
    </w:p>
    <w:p>
      <w:pPr>
        <w:pStyle w:val="Style36"/>
        <w:widowControl w:val="0"/>
        <w:keepNext w:val="0"/>
        <w:keepLines w:val="0"/>
        <w:shd w:val="clear" w:color="auto" w:fill="auto"/>
        <w:bidi w:val="0"/>
        <w:jc w:val="left"/>
        <w:spacing w:before="0" w:after="0" w:line="240" w:lineRule="auto"/>
        <w:ind w:left="0" w:right="0" w:firstLine="0"/>
        <w:sectPr>
          <w:type w:val="continuous"/>
          <w:pgSz w:w="11909" w:h="16838"/>
          <w:pgMar w:top="121" w:left="849" w:right="849" w:bottom="371" w:header="0" w:footer="3" w:gutter="0"/>
          <w:rtlGutter w:val="0"/>
          <w:cols w:space="720"/>
          <w:noEndnote/>
          <w:docGrid w:linePitch="360"/>
        </w:sectPr>
      </w:pPr>
      <w:r>
        <w:rPr>
          <w:w w:val="100"/>
          <w:spacing w:val="0"/>
          <w:color w:val="000000"/>
          <w:position w:val="0"/>
        </w:rPr>
        <w:t>000312049393</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38"/>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39"/>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 результатам рассмотрения жалоб, рассмотрев представленные документы и сведения, запрашиваемые письмом Московского УФАС России от 27.06.2022 №ЕИ/34043/22,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В составе жалобы Заявитель указывает, что аукционной комиссией Заказчика неправомерно не применены положения Постановление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(далее - Постановление №878) в части отклонения заявки иных участников закупки, так как, по мнению Заявителя, иными участниками закупки в составе заявок не были представлены документы и сведения, предусмотренные Постановлением №878, в то время как в составе заявки ООО «Простые Решения» такие документы были представлены, ввиду чего аукционной комиссии Заказчика надлежало отклонить участников закупочной процедуры не представивших документы и сведения, предусмотренные Постановлением №878.</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21.06.2022 №ИЭА1 заявки всех участников аукциона, в том числе заявка Заявителя, были признаны соответствующими требованиям извещения и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Комиссией Управления установлено, что извещением о проведении закупочной процедуры установлено ограничения для целей осуществления закупок для обеспечения государственных и муниципальных нужд в соответствии с положениями Постановления №878.</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П.3 Постановления №878 установлено, что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Подтверждением страны происхождения радиоэлектронной продукции является одно из следующих условий: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а)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 комиссии от 23 ноября 2020 г.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наличие сертификата о происхождении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по форме СТ-1), - для целей осуществления закупок радиоэлектронной продукции, извещения об осуществлении которых размещены в единой информационной системе в сфере закупок либо приглашения принять участие в которых направлены:</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до 30 июня 2022 г. включительно - в отношении радиоэлектронной продукции, кроме продукции, указанной в абзаце третьем настоящего подпункта, страной происхождения которой являются государства - члены Евразийского экономического союза (за исключением Российской Федерации);</w:t>
      </w:r>
    </w:p>
    <w:p>
      <w:pPr>
        <w:pStyle w:val="Style3"/>
        <w:numPr>
          <w:ilvl w:val="0"/>
          <w:numId w:val="1"/>
        </w:numPr>
        <w:tabs>
          <w:tab w:leader="none" w:pos="2334" w:val="center"/>
          <w:tab w:leader="none" w:pos="3102" w:val="left"/>
          <w:tab w:leader="none" w:pos="6476" w:val="right"/>
          <w:tab w:leader="none" w:pos="8329" w:val="right"/>
          <w:tab w:leader="none" w:pos="10182"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до 31 декабря 2022 г. включительно - в отношении радиоэлектронной продукции, являющейся медицинским изделием и классифицируемой в рамках следующих кодов в соответствии с Общероссийским классификатором продукции по видам экономической деятельности (ОКПД2) ОК 034-2014: 26.51.53.140,</w:t>
      </w:r>
    </w:p>
    <w:p>
      <w:pPr>
        <w:pStyle w:val="Style3"/>
        <w:numPr>
          <w:ilvl w:val="0"/>
          <w:numId w:val="3"/>
        </w:numPr>
        <w:tabs>
          <w:tab w:leader="none" w:pos="2334" w:val="center"/>
          <w:tab w:leader="none" w:pos="3102" w:val="left"/>
          <w:tab w:leader="none" w:pos="6476" w:val="right"/>
          <w:tab w:leader="none" w:pos="8329" w:val="right"/>
          <w:tab w:leader="none" w:pos="10182" w:val="right"/>
          <w:tab w:leader="none" w:pos="1820"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26.51.70.110, 26.60.11.111, 26.60.11.112, 26.60.11.113, 26.60.12.110,</w:t>
      </w:r>
    </w:p>
    <w:p>
      <w:pPr>
        <w:pStyle w:val="Style3"/>
        <w:numPr>
          <w:ilvl w:val="0"/>
          <w:numId w:val="5"/>
        </w:numPr>
        <w:tabs>
          <w:tab w:leader="none" w:pos="2334" w:val="center"/>
          <w:tab w:leader="none" w:pos="3102" w:val="left"/>
          <w:tab w:leader="none" w:pos="6476" w:val="right"/>
          <w:tab w:leader="none" w:pos="8329" w:val="right"/>
          <w:tab w:leader="none" w:pos="10182" w:val="right"/>
          <w:tab w:leader="none" w:pos="1820"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32.50.1,</w:t>
        <w:tab/>
        <w:t>32.50.21.112,</w:t>
        <w:tab/>
        <w:t>26.60.11.119,</w:t>
        <w:tab/>
        <w:t>26.60.11.120,</w:t>
        <w:tab/>
        <w:t>26.60.11.129,</w:t>
      </w:r>
    </w:p>
    <w:p>
      <w:pPr>
        <w:pStyle w:val="Style3"/>
        <w:numPr>
          <w:ilvl w:val="0"/>
          <w:numId w:val="7"/>
        </w:numPr>
        <w:tabs>
          <w:tab w:leader="none" w:pos="1791"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26.60.12.111, 26.60.12.119, 26.60.12.120, 26.60.12.124, 27.40.39.110,</w:t>
      </w:r>
    </w:p>
    <w:p>
      <w:pPr>
        <w:pStyle w:val="Style3"/>
        <w:numPr>
          <w:ilvl w:val="0"/>
          <w:numId w:val="9"/>
        </w:numPr>
        <w:tabs>
          <w:tab w:leader="none" w:pos="1791" w:val="left"/>
          <w:tab w:leader="none" w:pos="8431" w:val="right"/>
          <w:tab w:leader="none" w:pos="10179"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32.50.13, 26.60.12.121, 26.60.12.122,</w:t>
        <w:tab/>
        <w:t>26.60.12.123,</w:t>
        <w:tab/>
        <w:t>26.60.12.131,</w:t>
      </w:r>
    </w:p>
    <w:p>
      <w:pPr>
        <w:pStyle w:val="Style3"/>
        <w:tabs>
          <w:tab w:leader="none" w:pos="1791" w:val="left"/>
          <w:tab w:leader="none" w:pos="8431" w:val="right"/>
          <w:tab w:leader="none" w:pos="10179"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26.60.12.132,</w:t>
        <w:tab/>
        <w:t>26.60.13.130, 26.60.13.190, 26.60.13,</w:t>
        <w:tab/>
        <w:t>26.60.13.120,</w:t>
        <w:tab/>
        <w:t>26.60.13.140,</w:t>
      </w:r>
    </w:p>
    <w:p>
      <w:pPr>
        <w:pStyle w:val="Style3"/>
        <w:tabs>
          <w:tab w:leader="none" w:pos="1791" w:val="left"/>
          <w:tab w:leader="none" w:pos="10179"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26.60.13.150,</w:t>
        <w:tab/>
        <w:t>26.60.13.180, 26.60.13.190, 28.25.13.110, 32.50.50,</w:t>
        <w:tab/>
        <w:t>28.25.14.110,</w:t>
      </w:r>
    </w:p>
    <w:p>
      <w:pPr>
        <w:pStyle w:val="Style3"/>
        <w:numPr>
          <w:ilvl w:val="0"/>
          <w:numId w:val="11"/>
        </w:numPr>
        <w:tabs>
          <w:tab w:leader="none" w:pos="1791" w:val="left"/>
          <w:tab w:leader="none" w:pos="8431" w:val="right"/>
          <w:tab w:leader="none" w:pos="10179"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32.50.12, 32.50.21.121, 32.50.21.122,</w:t>
        <w:tab/>
        <w:t>32.50.21.129,</w:t>
        <w:tab/>
        <w:t>32.50.21.160,</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32.99.59.000.</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П.3(1) Постановления №878 установлено, что для подтверждения соответствия радиоэлектронной продукции условиям, предусмотренным подпунктами «а» - «в» п.3 Постановления №878, участник закупки в составе заявки на участие в закупке представляет следующие документы и (или) информацию соответственно:</w:t>
      </w:r>
    </w:p>
    <w:p>
      <w:pPr>
        <w:pStyle w:val="Style3"/>
        <w:numPr>
          <w:ilvl w:val="0"/>
          <w:numId w:val="1"/>
        </w:numPr>
        <w:tabs>
          <w:tab w:leader="none" w:pos="1394"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w:t>
      </w:r>
      <w:r>
        <w:rPr>
          <w:lang w:val="en-US" w:eastAsia="en-US" w:bidi="en-US"/>
          <w:w w:val="100"/>
          <w:spacing w:val="0"/>
          <w:color w:val="000000"/>
          <w:position w:val="0"/>
        </w:rPr>
        <w:t xml:space="preserve">N </w:t>
      </w:r>
      <w:r>
        <w:rPr>
          <w:lang w:val="ru-RU" w:eastAsia="ru-RU" w:bidi="ru-RU"/>
          <w:w w:val="100"/>
          <w:spacing w:val="0"/>
          <w:color w:val="000000"/>
          <w:position w:val="0"/>
        </w:rPr>
        <w:t>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3"/>
        <w:numPr>
          <w:ilvl w:val="0"/>
          <w:numId w:val="1"/>
        </w:numPr>
        <w:tabs>
          <w:tab w:leader="none" w:pos="1394"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копия сертификата по форме СТ-1.</w:t>
      </w:r>
    </w:p>
    <w:p>
      <w:pPr>
        <w:pStyle w:val="Style3"/>
        <w:tabs>
          <w:tab w:leader="none" w:pos="487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случае предоставления участником закупки в составе заявки на участие в закупке в соответствии с абзацами вторым и третьим настоящего пункта информации из реестра или евразийского реестра промышленных товаров без указания информации о совокупном количестве баллов в отношении продукции, для которой установлены требования о совокупном количестве баллов за выполнение (освоение) соответствующих операций (условий), или с указанием совокупного количества баллов, не соответствующего требованиям, установленным для целей закупок постановлением Правительства Российской Федерации от 17 июля 2015 г.</w:t>
        <w:tab/>
        <w:t>№719 «О подтверждении производства</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промышленной продукции на территории Российской Федерации» или решением Совета Евразийской экономической комиссии от 23 ноября 2020 г. №105 «Об утверждении Правил определения страны происхождения отдельных видов товаров для целей государственных (муниципальных) закупок» соответственно, такая заявка приравнивается к заявке, в которой содержится предложение о поставке продукции, происходящей из иностранных государств.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Номера реестровых записей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п.5 ч.1 ст.43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3"/>
        <w:tabs>
          <w:tab w:leader="none" w:pos="3634"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пп.6 п.16 информационной карты извещения об электронном аукционе участникам закупке в составе заявки надлежит представить, в том числе следующие документы:</w:t>
        <w:tab/>
        <w:t>«информация и документы, предусмотренные</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нормативными правовыми актами, принятыми в соответствии с частями 3 и 4 статьи 14 Федерального закона №44-ФЗ (в случае, если в извещении об осуществлении закупки, документации о закупке (если Федеральным законом №44-ФЗ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На заседании Комиссии Управления представитель Заказчика пояснил, что участник с идентификационным номером заявки 174 в составе заявки представил товар с наименованием «Нагрудный (портативный) видеорегистратор, модель </w:t>
      </w:r>
      <w:r>
        <w:rPr>
          <w:lang w:val="en-US" w:eastAsia="en-US" w:bidi="en-US"/>
          <w:w w:val="100"/>
          <w:spacing w:val="0"/>
          <w:color w:val="000000"/>
          <w:position w:val="0"/>
        </w:rPr>
        <w:t xml:space="preserve">VIZOR-4, </w:t>
      </w:r>
      <w:r>
        <w:rPr>
          <w:lang w:val="ru-RU" w:eastAsia="ru-RU" w:bidi="ru-RU"/>
          <w:w w:val="100"/>
          <w:spacing w:val="0"/>
          <w:color w:val="000000"/>
          <w:position w:val="0"/>
        </w:rPr>
        <w:t xml:space="preserve">артикул VIZOR-4-М-G-64», при этом выписка из реестра российской радиоэлектронной продукции(реестровая запись № 4059\1\2021) и сертификат по форме СТ-1 представлен на товар «Комплекс регистрации информации </w:t>
      </w:r>
      <w:r>
        <w:rPr>
          <w:lang w:val="en-US" w:eastAsia="en-US" w:bidi="en-US"/>
          <w:w w:val="100"/>
          <w:spacing w:val="0"/>
          <w:color w:val="000000"/>
          <w:position w:val="0"/>
        </w:rPr>
        <w:t xml:space="preserve">Vizor Pro», </w:t>
      </w:r>
      <w:r>
        <w:rPr>
          <w:lang w:val="ru-RU" w:eastAsia="ru-RU" w:bidi="ru-RU"/>
          <w:w w:val="100"/>
          <w:spacing w:val="0"/>
          <w:color w:val="000000"/>
          <w:position w:val="0"/>
        </w:rPr>
        <w:t>ввиду чего аукционная комиссия Заказчика не учитывала представленную выписку и сертификат СТ-1, так как документ представлены на иной товар.</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Комиссией Управления установлено, что в составе заявки участником закупки представлено заключение Минпромторга, выписка из реестра радиоэлектронной продукции(реестровая запись 4059\1\2021), сертификат по форме СТ-1 на товар «Комплекс регистрации информации </w:t>
      </w:r>
      <w:r>
        <w:rPr>
          <w:lang w:val="en-US" w:eastAsia="en-US" w:bidi="en-US"/>
          <w:w w:val="100"/>
          <w:spacing w:val="0"/>
          <w:color w:val="000000"/>
          <w:position w:val="0"/>
        </w:rPr>
        <w:t xml:space="preserve">Vizor Pro», </w:t>
      </w:r>
      <w:r>
        <w:rPr>
          <w:lang w:val="ru-RU" w:eastAsia="ru-RU" w:bidi="ru-RU"/>
          <w:w w:val="100"/>
          <w:spacing w:val="0"/>
          <w:color w:val="000000"/>
          <w:position w:val="0"/>
        </w:rPr>
        <w:t xml:space="preserve">в при этом в составе заявке участником закупки представлены сведения о поставке товара «Нагрудный (портативный) видеорегистратор, модель </w:t>
      </w:r>
      <w:r>
        <w:rPr>
          <w:lang w:val="en-US" w:eastAsia="en-US" w:bidi="en-US"/>
          <w:w w:val="100"/>
          <w:spacing w:val="0"/>
          <w:color w:val="000000"/>
          <w:position w:val="0"/>
        </w:rPr>
        <w:t xml:space="preserve">VIZOR-4, </w:t>
      </w:r>
      <w:r>
        <w:rPr>
          <w:lang w:val="ru-RU" w:eastAsia="ru-RU" w:bidi="ru-RU"/>
          <w:w w:val="100"/>
          <w:spacing w:val="0"/>
          <w:color w:val="000000"/>
          <w:position w:val="0"/>
        </w:rPr>
        <w:t xml:space="preserve">артикул </w:t>
      </w:r>
      <w:r>
        <w:rPr>
          <w:lang w:val="en-US" w:eastAsia="en-US" w:bidi="en-US"/>
          <w:w w:val="100"/>
          <w:spacing w:val="0"/>
          <w:color w:val="000000"/>
          <w:position w:val="0"/>
        </w:rPr>
        <w:t xml:space="preserve">VIZOR-4-W-G-64, </w:t>
      </w:r>
      <w:r>
        <w:rPr>
          <w:lang w:val="ru-RU" w:eastAsia="ru-RU" w:bidi="ru-RU"/>
          <w:w w:val="100"/>
          <w:spacing w:val="0"/>
          <w:color w:val="000000"/>
          <w:position w:val="0"/>
        </w:rPr>
        <w:t>страна происхождения Россия».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Также Комиссией Управления установлено, что в каталоге продукции содержится следующее описания изделия «Комплекс регистрации информации </w:t>
      </w:r>
      <w:r>
        <w:rPr>
          <w:lang w:val="en-US" w:eastAsia="en-US" w:bidi="en-US"/>
          <w:w w:val="100"/>
          <w:spacing w:val="0"/>
          <w:color w:val="000000"/>
          <w:position w:val="0"/>
        </w:rPr>
        <w:t xml:space="preserve">Vizor Pro»: </w:t>
      </w:r>
      <w:r>
        <w:rPr>
          <w:lang w:val="ru-RU" w:eastAsia="ru-RU" w:bidi="ru-RU"/>
          <w:w w:val="100"/>
          <w:spacing w:val="0"/>
          <w:color w:val="000000"/>
          <w:position w:val="0"/>
        </w:rPr>
        <w:t>«Комплекс регистрации информации предназначен для фиксации событий, происходящих в зоне видимости пользователя/изделия путем записи аудио и/или видео информации и фотографирования на внутреннюю память персональных носимых видеорегистраторов в целях обеспечения контроля действий сотрудников, а также для зарядки и скачивания данных с персональных носимых видеорегистраторов в автоматическом режиме. С помощью программного обеспечения изделия осуществляются поиск и просмотр сохранённых видео и аудиозаписей, фотографий на самом устройстве и с помощью удалённого доступа по сети, оперативная обработка данных в системе, создание и хранение архива».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Таким образом, Комиссия Управления приходит к выводу, что в комплекс регистрации информации </w:t>
      </w:r>
      <w:r>
        <w:rPr>
          <w:lang w:val="en-US" w:eastAsia="en-US" w:bidi="en-US"/>
          <w:w w:val="100"/>
          <w:spacing w:val="0"/>
          <w:color w:val="000000"/>
          <w:position w:val="0"/>
        </w:rPr>
        <w:t xml:space="preserve">Vizor Pro, </w:t>
      </w:r>
      <w:r>
        <w:rPr>
          <w:lang w:val="ru-RU" w:eastAsia="ru-RU" w:bidi="ru-RU"/>
          <w:w w:val="100"/>
          <w:spacing w:val="0"/>
          <w:color w:val="000000"/>
          <w:position w:val="0"/>
        </w:rPr>
        <w:t>входит в том числе ведеорегистратор.</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то же время, как следует из письма Минпромторга России от 24.09.2021 №81790/08, заключение о подтверждении производства комплекта(комплекса) на территории Российской Федерации не может быть использовано в качестве подтверждения производства отдельных предметов входящих в состав комплекта.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На основании вышеизложенного, Комиссия Управления приходит к выводу, что в рассматриваемом случае представленные в составе заявки ООО «Простые Решения» документы и сведения о происхождения товара «Комплекс регистрации информации </w:t>
      </w:r>
      <w:r>
        <w:rPr>
          <w:lang w:val="en-US" w:eastAsia="en-US" w:bidi="en-US"/>
          <w:w w:val="100"/>
          <w:spacing w:val="0"/>
          <w:color w:val="000000"/>
          <w:position w:val="0"/>
        </w:rPr>
        <w:t xml:space="preserve">Vizor Pro» </w:t>
      </w:r>
      <w:r>
        <w:rPr>
          <w:lang w:val="ru-RU" w:eastAsia="ru-RU" w:bidi="ru-RU"/>
          <w:w w:val="100"/>
          <w:spacing w:val="0"/>
          <w:color w:val="000000"/>
          <w:position w:val="0"/>
        </w:rPr>
        <w:t>не могут являться подтверждением страны происхождения представленного к поставке товара, поскольку представленные документы выданы на комплекс, а не на отдельный товар, и подтверждают производство на территории Российской Федерации именно комплекта, в связи с чем не могут быть использованы для подтверждения производства отдельных товаров, входящих в его состав.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пп.«а» п.5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3"/>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3"/>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3"/>
        <w:numPr>
          <w:ilvl w:val="0"/>
          <w:numId w:val="13"/>
        </w:numPr>
        <w:tabs>
          <w:tab w:leader="none" w:pos="10192" w:val="right"/>
          <w:tab w:leader="none" w:pos="10186"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п.5 ч.1 ст.43 Закона о контрактной системе,</w:t>
        <w:tab/>
        <w:t>если такие документы</w:t>
        <w:tab/>
        <w:t>предусмотрены</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3"/>
        <w:numPr>
          <w:ilvl w:val="0"/>
          <w:numId w:val="13"/>
        </w:numPr>
        <w:tabs>
          <w:tab w:leader="none" w:pos="8207" w:val="right"/>
          <w:tab w:leader="none" w:pos="10192"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выявления отнесения</w:t>
        <w:tab/>
        <w:t>участника закупки к</w:t>
        <w:tab/>
        <w:t>организациям,</w:t>
      </w:r>
    </w:p>
    <w:p>
      <w:pPr>
        <w:pStyle w:val="Style3"/>
        <w:tabs>
          <w:tab w:leader="none" w:pos="8207" w:val="right"/>
          <w:tab w:leader="none" w:pos="10192"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предусмотренным п.4 ст.2 Федерального закона от 4 июня 2018 года </w:t>
      </w:r>
      <w:r>
        <w:rPr>
          <w:lang w:val="en-US" w:eastAsia="en-US" w:bidi="en-US"/>
          <w:w w:val="100"/>
          <w:spacing w:val="0"/>
          <w:color w:val="000000"/>
          <w:position w:val="0"/>
        </w:rPr>
        <w:t xml:space="preserve">N </w:t>
      </w:r>
      <w:r>
        <w:rPr>
          <w:lang w:val="ru-RU" w:eastAsia="ru-RU" w:bidi="ru-RU"/>
          <w:w w:val="100"/>
          <w:spacing w:val="0"/>
          <w:color w:val="000000"/>
          <w:position w:val="0"/>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w:t>
        <w:tab/>
        <w:t>в перечень, определенный</w:t>
        <w:tab/>
        <w:t>Правительством</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Российской Федерации в соответствии с указанным пунктом;</w:t>
      </w:r>
    </w:p>
    <w:p>
      <w:pPr>
        <w:pStyle w:val="Style3"/>
        <w:numPr>
          <w:ilvl w:val="0"/>
          <w:numId w:val="13"/>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предусмотренных ч.6 ст.45 Закона о контрактной системе;</w:t>
      </w:r>
    </w:p>
    <w:p>
      <w:pPr>
        <w:pStyle w:val="Style3"/>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3"/>
        <w:numPr>
          <w:ilvl w:val="0"/>
          <w:numId w:val="1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указания информации о предложении участника закупки, предусмотренном п.3 или п.4 ч.1 ст.43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sectPr>
          <w:pgSz w:w="11909" w:h="16838"/>
          <w:pgMar w:top="1262" w:left="855" w:right="848" w:bottom="1324" w:header="0" w:footer="3" w:gutter="0"/>
          <w:rtlGutter w:val="0"/>
          <w:cols w:space="720"/>
          <w:noEndnote/>
          <w:docGrid w:linePitch="360"/>
        </w:sectPr>
      </w:pPr>
      <w:r>
        <w:rPr>
          <w:lang w:val="ru-RU" w:eastAsia="ru-RU" w:bidi="ru-RU"/>
          <w:w w:val="100"/>
          <w:spacing w:val="0"/>
          <w:color w:val="000000"/>
          <w:position w:val="0"/>
        </w:rPr>
        <w:t>На основании вышеизложенного Комиссия Управления приходит к выводу, что действия аукционной комиссии Заказчика, в части не применения положений Постановления №878, в части отклонения заявок иных участников закупки, не противоречит нормам Закона о контрактной системе, ввиду чего у Комиссии</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Управления отсутствуют правовые основания считать аукционной комиссию Заказчика нарушившей положения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Комиссия Управления приходит к выводу, что довод жалобы не нашел своего подтверждения и является необоснованным.</w:t>
      </w:r>
    </w:p>
    <w:p>
      <w:pPr>
        <w:pStyle w:val="Style3"/>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9"/>
        <w:widowControl w:val="0"/>
        <w:keepNext/>
        <w:keepLines/>
        <w:shd w:val="clear" w:color="auto" w:fill="auto"/>
        <w:bidi w:val="0"/>
        <w:jc w:val="left"/>
        <w:spacing w:before="0" w:after="299" w:line="260" w:lineRule="exact"/>
        <w:ind w:left="4580" w:right="0" w:firstLine="0"/>
      </w:pPr>
      <w:bookmarkStart w:id="1" w:name="bookmark1"/>
      <w:r>
        <w:rPr>
          <w:rStyle w:val="CharStyle41"/>
          <w:b/>
          <w:bCs/>
        </w:rPr>
        <w:t>РЕШИЛА:</w:t>
      </w:r>
      <w:bookmarkEnd w:id="1"/>
    </w:p>
    <w:p>
      <w:pPr>
        <w:pStyle w:val="Style3"/>
        <w:numPr>
          <w:ilvl w:val="0"/>
          <w:numId w:val="15"/>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жалобу ООО «Простые Решения» на действия аукционной комиссии ФГБУ «ЦЛАТИ по ЦФО» необоснованной.</w:t>
      </w:r>
    </w:p>
    <w:p>
      <w:pPr>
        <w:pStyle w:val="Style3"/>
        <w:numPr>
          <w:ilvl w:val="0"/>
          <w:numId w:val="15"/>
        </w:numPr>
        <w:widowControl w:val="0"/>
        <w:keepNext w:val="0"/>
        <w:keepLines w:val="0"/>
        <w:shd w:val="clear" w:color="auto" w:fill="auto"/>
        <w:bidi w:val="0"/>
        <w:jc w:val="both"/>
        <w:spacing w:before="0" w:after="300" w:line="322" w:lineRule="exact"/>
        <w:ind w:left="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(исх. №ЕИ/34043/22 от 27.06.2022).</w:t>
      </w:r>
    </w:p>
    <w:p>
      <w:pPr>
        <w:pStyle w:val="Style3"/>
        <w:widowControl w:val="0"/>
        <w:keepNext w:val="0"/>
        <w:keepLines w:val="0"/>
        <w:shd w:val="clear" w:color="auto" w:fill="auto"/>
        <w:bidi w:val="0"/>
        <w:jc w:val="both"/>
        <w:spacing w:before="0" w:after="43"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3006" w:h="1286" w:wrap="around" w:vAnchor="text" w:hAnchor="margin" w:x="6" w:y="-316"/>
        <w:widowControl w:val="0"/>
        <w:keepNext w:val="0"/>
        <w:keepLines w:val="0"/>
        <w:shd w:val="clear" w:color="auto" w:fill="auto"/>
        <w:bidi w:val="0"/>
        <w:jc w:val="both"/>
        <w:spacing w:before="0" w:after="0" w:line="643" w:lineRule="exact"/>
        <w:ind w:left="0" w:right="100" w:firstLine="0"/>
      </w:pPr>
      <w:r>
        <w:rPr>
          <w:rStyle w:val="CharStyle4"/>
          <w:spacing w:val="0"/>
        </w:rPr>
        <w:t>Председательствующий Члены Комиссии</w:t>
      </w:r>
    </w:p>
    <w:p>
      <w:pPr>
        <w:pStyle w:val="Style3"/>
        <w:widowControl w:val="0"/>
        <w:keepNext w:val="0"/>
        <w:keepLines w:val="0"/>
        <w:shd w:val="clear" w:color="auto" w:fill="auto"/>
        <w:bidi w:val="0"/>
        <w:jc w:val="right"/>
        <w:spacing w:before="0" w:after="5604" w:line="643" w:lineRule="exact"/>
        <w:ind w:left="5400" w:right="20" w:firstLine="0"/>
      </w:pPr>
      <w:r>
        <w:rPr>
          <w:lang w:val="ru-RU" w:eastAsia="ru-RU" w:bidi="ru-RU"/>
          <w:w w:val="100"/>
          <w:spacing w:val="0"/>
          <w:color w:val="000000"/>
          <w:position w:val="0"/>
        </w:rPr>
        <w:t>С.И. Казарин М.О. Мацнева А.А. Матюшенко</w:t>
      </w:r>
    </w:p>
    <w:p>
      <w:pPr>
        <w:pStyle w:val="Style42"/>
        <w:widowControl w:val="0"/>
        <w:keepNext w:val="0"/>
        <w:keepLines w:val="0"/>
        <w:shd w:val="clear" w:color="auto" w:fill="auto"/>
        <w:bidi w:val="0"/>
        <w:jc w:val="left"/>
        <w:spacing w:before="0" w:after="0"/>
        <w:ind w:left="0" w:right="6540" w:firstLine="0"/>
      </w:pPr>
      <w:r>
        <w:rPr>
          <w:lang w:val="ru-RU" w:eastAsia="ru-RU" w:bidi="ru-RU"/>
          <w:w w:val="100"/>
          <w:spacing w:val="0"/>
          <w:color w:val="000000"/>
          <w:position w:val="0"/>
        </w:rPr>
        <w:t>Исп. Матюшенко А.А., 8(495) 784-75-05 2022-38218</w:t>
      </w:r>
    </w:p>
    <w:sectPr>
      <w:headerReference w:type="default" r:id="rId10"/>
      <w:footerReference w:type="default" r:id="rId11"/>
      <w:footerReference w:type="first" r:id="rId12"/>
      <w:pgSz w:w="11909" w:h="16838"/>
      <w:pgMar w:top="889" w:left="852" w:right="852" w:bottom="375"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7pt;margin-top:795.95pt;width:56.9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2022-38218</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6.pt;width:56.9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2022-38218</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7pt;margin-top:38.0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b/>
                      <w:bCs/>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5.3pt;margin-top:19.75pt;width:5.05pt;height:7.7pt;z-index:-188744061;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90"/>
      <w:numFmt w:val="decimal"/>
      <w:lvlText w:val="26.51.5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29"/>
      <w:numFmt w:val="decimal"/>
      <w:lvlText w:val="26.6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30"/>
      <w:numFmt w:val="decimal"/>
      <w:lvlText w:val="26.6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90"/>
      <w:numFmt w:val="decimal"/>
      <w:lvlText w:val="32.50.1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90"/>
      <w:numFmt w:val="decimal"/>
      <w:lvlText w:val="32.50.5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6">
    <w:name w:val="Подпись к картинке_"/>
    <w:basedOn w:val="DefaultParagraphFont"/>
    <w:link w:val="Style5"/>
    <w:rPr>
      <w:b w:val="0"/>
      <w:bCs w:val="0"/>
      <w:i w:val="0"/>
      <w:iCs w:val="0"/>
      <w:u w:val="none"/>
      <w:strike w:val="0"/>
      <w:smallCaps w:val="0"/>
      <w:sz w:val="12"/>
      <w:szCs w:val="12"/>
      <w:w w:val="200"/>
    </w:rPr>
  </w:style>
  <w:style w:type="character" w:customStyle="1" w:styleId="CharStyle7">
    <w:name w:val="Подпись к картинке"/>
    <w:basedOn w:val="CharStyle6"/>
    <w:rPr>
      <w:lang w:val="ru-RU" w:eastAsia="ru-RU" w:bidi="ru-RU"/>
      <w:rFonts w:ascii="Courier New" w:eastAsia="Courier New" w:hAnsi="Courier New" w:cs="Courier New"/>
      <w:spacing w:val="0"/>
      <w:color w:val="000000"/>
      <w:position w:val="0"/>
    </w:rPr>
  </w:style>
  <w:style w:type="character" w:customStyle="1" w:styleId="CharStyle9">
    <w:name w:val="Колонтитул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Segoe UI" w:eastAsia="Segoe UI" w:hAnsi="Segoe UI" w:cs="Segoe UI"/>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5">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6">
    <w:name w:val="Основной текст (3) Exact"/>
    <w:basedOn w:val="CharStyle19"/>
    <w:rPr>
      <w:lang w:val="ru-RU" w:eastAsia="ru-RU" w:bidi="ru-RU"/>
      <w:sz w:val="16"/>
      <w:szCs w:val="16"/>
      <w:w w:val="100"/>
      <w:spacing w:val="3"/>
      <w:color w:val="000000"/>
      <w:position w:val="0"/>
    </w:rPr>
  </w:style>
  <w:style w:type="character" w:customStyle="1" w:styleId="CharStyle28">
    <w:name w:val="Основной текст (5)_"/>
    <w:basedOn w:val="DefaultParagraphFont"/>
    <w:link w:val="Style27"/>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9">
    <w:name w:val="Основной текст (5)"/>
    <w:basedOn w:val="CharStyle28"/>
    <w:rPr>
      <w:lang w:val="ru-RU" w:eastAsia="ru-RU" w:bidi="ru-RU"/>
      <w:w w:val="10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42"/>
      <w:szCs w:val="42"/>
    </w:rPr>
  </w:style>
  <w:style w:type="character" w:customStyle="1" w:styleId="CharStyle32">
    <w:name w:val="Основной текст (6)"/>
    <w:basedOn w:val="CharStyle31"/>
    <w:rPr>
      <w:lang w:val="ru-RU" w:eastAsia="ru-RU" w:bidi="ru-RU"/>
      <w:rFonts w:ascii="Courier New" w:eastAsia="Courier New" w:hAnsi="Courier New" w:cs="Courier New"/>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5">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7">
    <w:name w:val="Штрих-код (2)_"/>
    <w:basedOn w:val="DefaultParagraphFont"/>
    <w:link w:val="Style3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8">
    <w:name w:val="Основной текст"/>
    <w:basedOn w:val="CharStyle17"/>
    <w:rPr>
      <w:lang w:val="ru-RU" w:eastAsia="ru-RU" w:bidi="ru-RU"/>
      <w:u w:val="single"/>
      <w:w w:val="100"/>
      <w:spacing w:val="0"/>
      <w:color w:val="000000"/>
      <w:position w:val="0"/>
    </w:rPr>
  </w:style>
  <w:style w:type="character" w:customStyle="1" w:styleId="CharStyle40">
    <w:name w:val="Заголовок №1_"/>
    <w:basedOn w:val="DefaultParagraphFont"/>
    <w:link w:val="Style39"/>
    <w:rPr>
      <w:b/>
      <w:bCs/>
      <w:i w:val="0"/>
      <w:iCs w:val="0"/>
      <w:u w:val="none"/>
      <w:strike w:val="0"/>
      <w:smallCaps w:val="0"/>
      <w:sz w:val="26"/>
      <w:szCs w:val="26"/>
      <w:rFonts w:ascii="Times New Roman" w:eastAsia="Times New Roman" w:hAnsi="Times New Roman" w:cs="Times New Roman"/>
    </w:rPr>
  </w:style>
  <w:style w:type="character" w:customStyle="1" w:styleId="CharStyle41">
    <w:name w:val="Заголовок №1 + Интервал 3 pt"/>
    <w:basedOn w:val="CharStyle40"/>
    <w:rPr>
      <w:lang w:val="ru-RU" w:eastAsia="ru-RU" w:bidi="ru-RU"/>
      <w:w w:val="100"/>
      <w:spacing w:val="60"/>
      <w:color w:val="000000"/>
      <w:position w:val="0"/>
    </w:rPr>
  </w:style>
  <w:style w:type="character" w:customStyle="1" w:styleId="CharStyle43">
    <w:name w:val="Основной текст (8)_"/>
    <w:basedOn w:val="DefaultParagraphFont"/>
    <w:link w:val="Style42"/>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8">
    <w:name w:val="Колонтитул"/>
    <w:basedOn w:val="Normal"/>
    <w:link w:val="CharStyle9"/>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7">
    <w:name w:val="Основной текст (5)"/>
    <w:basedOn w:val="Normal"/>
    <w:link w:val="CharStyle28"/>
    <w:pPr>
      <w:widowControl w:val="0"/>
      <w:shd w:val="clear" w:color="auto" w:fill="FFFFFF"/>
      <w:spacing w:after="540"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0">
    <w:name w:val="Основной текст (6)"/>
    <w:basedOn w:val="Normal"/>
    <w:link w:val="CharStyle31"/>
    <w:pPr>
      <w:widowControl w:val="0"/>
      <w:shd w:val="clear" w:color="auto" w:fill="FFFFFF"/>
      <w:spacing w:before="540" w:line="0" w:lineRule="exact"/>
    </w:pPr>
    <w:rPr>
      <w:b/>
      <w:bCs/>
      <w:i w:val="0"/>
      <w:iCs w:val="0"/>
      <w:u w:val="none"/>
      <w:strike w:val="0"/>
      <w:smallCaps w:val="0"/>
      <w:sz w:val="42"/>
      <w:szCs w:val="42"/>
    </w:rPr>
  </w:style>
  <w:style w:type="paragraph" w:customStyle="1" w:styleId="Style33">
    <w:name w:val="Основной текст (7)"/>
    <w:basedOn w:val="Normal"/>
    <w:link w:val="CharStyle34"/>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6">
    <w:name w:val="Штрих-код (2)"/>
    <w:basedOn w:val="Normal"/>
    <w:link w:val="CharStyle3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9">
    <w:name w:val="Заголовок №1"/>
    <w:basedOn w:val="Normal"/>
    <w:link w:val="CharStyle4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2">
    <w:name w:val="Основной текст (8)"/>
    <w:basedOn w:val="Normal"/>
    <w:link w:val="CharStyle43"/>
    <w:pPr>
      <w:widowControl w:val="0"/>
      <w:shd w:val="clear" w:color="auto" w:fill="FFFFFF"/>
      <w:spacing w:before="5700" w:line="763"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footer" Target="footer4.xml"/></Relationships>
</file>