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h="5165" w:wrap="around" w:hAnchor="margin" w:x="47" w:y="-983"/>
        <w:widowControl w:val="0"/>
        <w:jc w:val="center"/>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207pt;height:258pt;">
            <v:imagedata r:id="rId5" r:href="rId6"/>
          </v:shape>
        </w:pict>
      </w:r>
    </w:p>
    <w:p>
      <w:pPr>
        <w:pStyle w:val="Style5"/>
        <w:numPr>
          <w:ilvl w:val="0"/>
          <w:numId w:val="1"/>
        </w:numPr>
        <w:widowControl w:val="0"/>
        <w:keepNext w:val="0"/>
        <w:keepLines w:val="0"/>
        <w:shd w:val="clear" w:color="auto" w:fill="auto"/>
        <w:bidi w:val="0"/>
        <w:spacing w:before="0" w:after="308" w:line="260" w:lineRule="exact"/>
        <w:ind w:left="1220" w:right="0" w:firstLine="0"/>
      </w:pPr>
      <w:r>
        <w:rPr>
          <w:lang w:val="ru-RU" w:eastAsia="ru-RU" w:bidi="ru-RU"/>
          <w:w w:val="100"/>
          <w:spacing w:val="0"/>
          <w:color w:val="000000"/>
          <w:position w:val="0"/>
        </w:rPr>
        <w:t xml:space="preserve"> ООО «Полимер-Рус»</w:t>
      </w:r>
    </w:p>
    <w:p>
      <w:pPr>
        <w:pStyle w:val="Style5"/>
        <w:widowControl w:val="0"/>
        <w:keepNext w:val="0"/>
        <w:keepLines w:val="0"/>
        <w:shd w:val="clear" w:color="auto" w:fill="auto"/>
        <w:bidi w:val="0"/>
        <w:spacing w:before="0" w:after="0" w:line="322" w:lineRule="exact"/>
        <w:ind w:left="1220" w:right="20" w:firstLine="0"/>
      </w:pPr>
      <w:r>
        <w:rPr>
          <w:lang w:val="ru-RU" w:eastAsia="ru-RU" w:bidi="ru-RU"/>
          <w:w w:val="100"/>
          <w:spacing w:val="0"/>
          <w:color w:val="000000"/>
          <w:position w:val="0"/>
        </w:rPr>
        <w:t>125080, г. Москва, ш. Волоколамское, д. 1, стр. 1, эт., 5 п. VI к. 31 оф. 18А</w:t>
      </w:r>
    </w:p>
    <w:p>
      <w:pPr>
        <w:pStyle w:val="Style5"/>
        <w:widowControl w:val="0"/>
        <w:keepNext w:val="0"/>
        <w:keepLines w:val="0"/>
        <w:shd w:val="clear" w:color="auto" w:fill="auto"/>
        <w:bidi w:val="0"/>
        <w:spacing w:before="0" w:after="0" w:line="643" w:lineRule="exact"/>
        <w:ind w:left="1220" w:right="0" w:firstLine="0"/>
      </w:pPr>
      <w:r>
        <w:rPr>
          <w:lang w:val="en-US" w:eastAsia="en-US" w:bidi="en-US"/>
          <w:w w:val="100"/>
          <w:spacing w:val="0"/>
          <w:color w:val="000000"/>
          <w:position w:val="0"/>
        </w:rPr>
        <w:t xml:space="preserve">ruspolim </w:t>
      </w:r>
      <w:r>
        <w:fldChar w:fldCharType="begin"/>
      </w:r>
      <w:r>
        <w:rPr>
          <w:color w:val="000000"/>
        </w:rPr>
        <w:instrText> HYPERLINK "mailto:123@gmail.com" </w:instrText>
      </w:r>
      <w:r>
        <w:fldChar w:fldCharType="separate"/>
      </w:r>
      <w:r>
        <w:rPr>
          <w:rStyle w:val="Hyperlink"/>
          <w:lang w:val="en-US" w:eastAsia="en-US" w:bidi="en-US"/>
          <w:w w:val="100"/>
          <w:spacing w:val="0"/>
          <w:position w:val="0"/>
        </w:rPr>
        <w:t>123@gmail.com</w:t>
      </w:r>
      <w:r>
        <w:fldChar w:fldCharType="end"/>
      </w:r>
    </w:p>
    <w:p>
      <w:pPr>
        <w:pStyle w:val="Style5"/>
        <w:numPr>
          <w:ilvl w:val="0"/>
          <w:numId w:val="1"/>
        </w:numPr>
        <w:widowControl w:val="0"/>
        <w:keepNext w:val="0"/>
        <w:keepLines w:val="0"/>
        <w:shd w:val="clear" w:color="auto" w:fill="auto"/>
        <w:bidi w:val="0"/>
        <w:spacing w:before="0" w:after="0" w:line="643" w:lineRule="exact"/>
        <w:ind w:left="1220" w:right="0" w:firstLine="0"/>
      </w:pPr>
      <w:r>
        <w:rPr>
          <w:lang w:val="ru-RU" w:eastAsia="ru-RU" w:bidi="ru-RU"/>
          <w:w w:val="100"/>
          <w:spacing w:val="0"/>
          <w:color w:val="000000"/>
          <w:position w:val="0"/>
        </w:rPr>
        <w:t xml:space="preserve"> ГБУЗ «ПКБ № 4 ДЗМ»</w:t>
      </w:r>
    </w:p>
    <w:p>
      <w:pPr>
        <w:pStyle w:val="Style5"/>
        <w:widowControl w:val="0"/>
        <w:keepNext w:val="0"/>
        <w:keepLines w:val="0"/>
        <w:shd w:val="clear" w:color="auto" w:fill="auto"/>
        <w:bidi w:val="0"/>
        <w:spacing w:before="0" w:after="0" w:line="643" w:lineRule="exact"/>
        <w:ind w:left="1220" w:right="20" w:firstLine="0"/>
      </w:pPr>
      <w:r>
        <w:rPr>
          <w:lang w:val="ru-RU" w:eastAsia="ru-RU" w:bidi="ru-RU"/>
          <w:w w:val="100"/>
          <w:spacing w:val="0"/>
          <w:color w:val="000000"/>
          <w:position w:val="0"/>
        </w:rPr>
        <w:t xml:space="preserve">Г. Москва, ул. Потешная, д. 3 </w:t>
      </w:r>
      <w:r>
        <w:fldChar w:fldCharType="begin"/>
      </w:r>
      <w:r>
        <w:rPr>
          <w:color w:val="000000"/>
        </w:rPr>
        <w:instrText> HYPERLINK "mailto:pkb4-omts@mail.ru" </w:instrText>
      </w:r>
      <w:r>
        <w:fldChar w:fldCharType="separate"/>
      </w:r>
      <w:r>
        <w:rPr>
          <w:rStyle w:val="Hyperlink"/>
          <w:lang w:val="en-US" w:eastAsia="en-US" w:bidi="en-US"/>
          <w:w w:val="100"/>
          <w:spacing w:val="0"/>
          <w:position w:val="0"/>
        </w:rPr>
        <w:t>pkb4-omts@mail.ru</w:t>
      </w:r>
      <w:r>
        <w:fldChar w:fldCharType="end"/>
      </w:r>
    </w:p>
    <w:p>
      <w:pPr>
        <w:pStyle w:val="Style5"/>
        <w:numPr>
          <w:ilvl w:val="0"/>
          <w:numId w:val="1"/>
        </w:numPr>
        <w:widowControl w:val="0"/>
        <w:keepNext w:val="0"/>
        <w:keepLines w:val="0"/>
        <w:shd w:val="clear" w:color="auto" w:fill="auto"/>
        <w:bidi w:val="0"/>
        <w:jc w:val="left"/>
        <w:spacing w:before="0" w:after="0" w:line="643" w:lineRule="exact"/>
        <w:ind w:left="5400" w:right="0" w:firstLine="0"/>
      </w:pPr>
      <w:r>
        <w:rPr>
          <w:lang w:val="ru-RU" w:eastAsia="ru-RU" w:bidi="ru-RU"/>
          <w:w w:val="100"/>
          <w:spacing w:val="0"/>
          <w:color w:val="000000"/>
          <w:position w:val="0"/>
        </w:rPr>
        <w:t xml:space="preserve"> АО «ЕЭТП»</w:t>
      </w:r>
    </w:p>
    <w:p>
      <w:pPr>
        <w:pStyle w:val="Style5"/>
        <w:widowControl w:val="0"/>
        <w:keepNext w:val="0"/>
        <w:keepLines w:val="0"/>
        <w:shd w:val="clear" w:color="auto" w:fill="auto"/>
        <w:bidi w:val="0"/>
        <w:jc w:val="left"/>
        <w:spacing w:before="0" w:after="362" w:line="260" w:lineRule="exact"/>
        <w:ind w:left="5400" w:right="0" w:firstLine="0"/>
      </w:pPr>
      <w:r>
        <w:rPr>
          <w:lang w:val="ru-RU" w:eastAsia="ru-RU" w:bidi="ru-RU"/>
          <w:w w:val="100"/>
          <w:spacing w:val="0"/>
          <w:color w:val="000000"/>
          <w:position w:val="0"/>
        </w:rPr>
        <w:t>115114, Москва, ул Кожевническая 14, стр. 5</w:t>
      </w:r>
    </w:p>
    <w:p>
      <w:pPr>
        <w:pStyle w:val="Style5"/>
        <w:widowControl w:val="0"/>
        <w:keepNext w:val="0"/>
        <w:keepLines w:val="0"/>
        <w:shd w:val="clear" w:color="auto" w:fill="auto"/>
        <w:bidi w:val="0"/>
        <w:jc w:val="left"/>
        <w:spacing w:before="0" w:after="1127" w:line="260" w:lineRule="exact"/>
        <w:ind w:left="5400" w:right="0" w:firstLine="0"/>
      </w:pP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10"/>
        <w:widowControl w:val="0"/>
        <w:keepNext w:val="0"/>
        <w:keepLines w:val="0"/>
        <w:shd w:val="clear" w:color="auto" w:fill="auto"/>
        <w:bidi w:val="0"/>
        <w:spacing w:before="0" w:after="123" w:line="260" w:lineRule="exact"/>
        <w:ind w:left="0" w:right="20" w:firstLine="0"/>
      </w:pPr>
      <w:r>
        <w:rPr>
          <w:lang w:val="ru-RU" w:eastAsia="ru-RU" w:bidi="ru-RU"/>
          <w:w w:val="100"/>
          <w:spacing w:val="0"/>
          <w:color w:val="000000"/>
          <w:position w:val="0"/>
        </w:rPr>
        <w:t>РЕШЕНИЕ</w:t>
      </w:r>
    </w:p>
    <w:p>
      <w:pPr>
        <w:pStyle w:val="Style10"/>
        <w:tabs>
          <w:tab w:leader="none" w:pos="9774" w:val="center"/>
          <w:tab w:leader="none" w:pos="10898" w:val="right"/>
        </w:tabs>
        <w:widowControl w:val="0"/>
        <w:keepNext w:val="0"/>
        <w:keepLines w:val="0"/>
        <w:shd w:val="clear" w:color="auto" w:fill="auto"/>
        <w:bidi w:val="0"/>
        <w:jc w:val="left"/>
        <w:spacing w:before="0" w:after="0" w:line="322" w:lineRule="exact"/>
        <w:ind w:left="40" w:right="20" w:firstLine="2560"/>
      </w:pPr>
      <w:r>
        <w:rPr>
          <w:lang w:val="ru-RU" w:eastAsia="ru-RU" w:bidi="ru-RU"/>
          <w:w w:val="100"/>
          <w:spacing w:val="0"/>
          <w:color w:val="000000"/>
          <w:position w:val="0"/>
        </w:rPr>
        <w:t>по делу № 077/06/106-10015/2022 о нарушении законодательства о контрактной системе 29.06.2022</w:t>
        <w:tab/>
        <w:t>г.</w:t>
        <w:tab/>
        <w:t>Москва</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Председательствующего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spacing w:before="0" w:after="0" w:line="322"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Специалиста 1 разряда отдела обжалования государственных закупок Э.З. Гугава,</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Специалиста-эксперта разряда отдела обжалования государственных закупок М.О. Мацневой,</w:t>
      </w:r>
    </w:p>
    <w:p>
      <w:pPr>
        <w:pStyle w:val="Style5"/>
        <w:tabs>
          <w:tab w:leader="none" w:pos="678" w:val="left"/>
        </w:tabs>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5"/>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5"/>
        <w:tabs>
          <w:tab w:leader="none" w:pos="8320" w:val="left"/>
        </w:tabs>
        <w:widowControl w:val="0"/>
        <w:keepNext w:val="0"/>
        <w:keepLines w:val="0"/>
        <w:shd w:val="clear" w:color="auto" w:fill="auto"/>
        <w:bidi w:val="0"/>
        <w:spacing w:before="0" w:after="0" w:line="322" w:lineRule="exact"/>
        <w:ind w:left="40" w:right="0" w:firstLine="720"/>
      </w:pPr>
      <w:r>
        <w:rPr>
          <w:lang w:val="ru-RU" w:eastAsia="ru-RU" w:bidi="ru-RU"/>
          <w:w w:val="100"/>
          <w:spacing w:val="0"/>
          <w:color w:val="000000"/>
          <w:position w:val="0"/>
        </w:rPr>
        <w:t>при участии представителей ООО «Полимер-Рус»:</w:t>
        <w:tab/>
        <w:t>Стенина С.А. (по</w:t>
      </w:r>
    </w:p>
    <w:p>
      <w:pPr>
        <w:pStyle w:val="Style3"/>
        <w:framePr w:w="1685" w:h="394" w:wrap="around" w:vAnchor="text" w:hAnchor="margin" w:x="392" w:y="80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000975722698</w:t>
      </w:r>
    </w:p>
    <w:p>
      <w:pPr>
        <w:pStyle w:val="Style5"/>
        <w:widowControl w:val="0"/>
        <w:keepNext w:val="0"/>
        <w:keepLines w:val="0"/>
        <w:shd w:val="clear" w:color="auto" w:fill="auto"/>
        <w:bidi w:val="0"/>
        <w:spacing w:before="0" w:after="176" w:line="322" w:lineRule="exact"/>
        <w:ind w:left="40" w:right="20" w:firstLine="0"/>
      </w:pPr>
      <w:r>
        <w:rPr>
          <w:lang w:val="ru-RU" w:eastAsia="ru-RU" w:bidi="ru-RU"/>
          <w:w w:val="100"/>
          <w:spacing w:val="0"/>
          <w:color w:val="000000"/>
          <w:position w:val="0"/>
        </w:rPr>
        <w:t>доверенности №бн от 19.05.2020); ГБУЗ «ПКБ № 4 ДЗМ»: Вальсамакина А.А. (по доверенности №1 от 10.02.2022) и Матвееевой Е.А. (по доверенности №3 от</w:t>
      </w:r>
    </w:p>
    <w:p>
      <w:pPr>
        <w:framePr w:h="461" w:wrap="notBeside" w:vAnchor="text" w:hAnchor="text" w:y="1"/>
        <w:widowControl w:val="0"/>
        <w:jc w:val="left"/>
        <w:rPr>
          <w:sz w:val="2"/>
          <w:szCs w:val="2"/>
        </w:rPr>
      </w:pPr>
      <w:r>
        <w:pict>
          <v:shape id="_x0000_s1027" type="#_x0000_t75" style="width:125pt;height:23pt;">
            <v:imagedata r:id="rId7" r:href="rId8"/>
          </v:shape>
        </w:pict>
      </w:r>
    </w:p>
    <w:p>
      <w:pPr>
        <w:widowControl w:val="0"/>
        <w:rPr>
          <w:sz w:val="2"/>
          <w:szCs w:val="2"/>
        </w:rPr>
      </w:pPr>
      <w:r>
        <w:br w:type="page"/>
      </w:r>
    </w:p>
    <w:p>
      <w:pPr>
        <w:widowControl w:val="0"/>
      </w:pPr>
      <w:r>
        <w:br w:type="page"/>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10.01.2022),</w:t>
      </w:r>
    </w:p>
    <w:p>
      <w:pPr>
        <w:pStyle w:val="Style5"/>
        <w:tabs>
          <w:tab w:leader="none" w:pos="10933" w:val="righ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рассмотрев жалобу ГБУЗ «ПКБ № 4 ДЗМ» (далее — Заявитель) на действия ГБУЗ «ПКБ № 4 ДЗМ» (далее — Заказчик) при проведении электронного аукциона на право заключения государственного контракта на оказание услуг по техническому обслуживанию систем видеонаблюдения, систем контроля и управления доступом в ГБУЗ «ПКБ № 4 ДЗМ» и филиалах в 2022-2023 гг. (Закупка№ 0373200122122000175) (далее - открытый конкурс, конкурс),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ФАС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w:t>
        <w:tab/>
        <w:t>№727/14</w:t>
      </w:r>
    </w:p>
    <w:p>
      <w:pPr>
        <w:pStyle w:val="Style5"/>
        <w:widowControl w:val="0"/>
        <w:keepNext w:val="0"/>
        <w:keepLines w:val="0"/>
        <w:shd w:val="clear" w:color="auto" w:fill="auto"/>
        <w:bidi w:val="0"/>
        <w:spacing w:before="0" w:after="349" w:line="322" w:lineRule="exact"/>
        <w:ind w:left="20" w:right="0" w:firstLine="0"/>
      </w:pPr>
      <w:r>
        <w:rPr>
          <w:lang w:val="ru-RU" w:eastAsia="ru-RU" w:bidi="ru-RU"/>
          <w:w w:val="100"/>
          <w:spacing w:val="0"/>
          <w:color w:val="000000"/>
          <w:position w:val="0"/>
        </w:rPr>
        <w:t>(далее - Административный регламент),</w:t>
      </w:r>
    </w:p>
    <w:p>
      <w:pPr>
        <w:pStyle w:val="Style12"/>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конкурса.</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запрашиваемые письмом Московского УФАС России от 27.06.2022 №ЕИ/34069/22 документы и сведения.</w:t>
      </w:r>
    </w:p>
    <w:p>
      <w:pPr>
        <w:pStyle w:val="Style5"/>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В результате рассмотрения жалобы Комиссия Управления установила следующее.</w:t>
      </w:r>
    </w:p>
    <w:p>
      <w:pPr>
        <w:pStyle w:val="Style5"/>
        <w:tabs>
          <w:tab w:leader="none" w:pos="10933" w:val="right"/>
        </w:tabs>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составе жалобы Заявитель указывает на то, что Заказчиком в нарушение ч.4 ст.31 Закона о контрактной системе неправомерно не установлены дополнительные требования к участникам закупок, а именно требование о наличии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tab/>
        <w:t>предусмотренных</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п.14 постановления Правительства Российской Федерации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 2571).</w:t>
      </w:r>
    </w:p>
    <w:p>
      <w:pPr>
        <w:pStyle w:val="Style5"/>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п.12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п.1 ч.1 ст.31 Закона о контрактной системе, требования, предъявляемые к участникам закупки в соответствии с ч.2 и 2.1 (при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 силу ч.2 ст.31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pPr>
        <w:pStyle w:val="Style5"/>
        <w:numPr>
          <w:ilvl w:val="0"/>
          <w:numId w:val="3"/>
        </w:numPr>
        <w:widowControl w:val="0"/>
        <w:keepNext w:val="0"/>
        <w:keepLines w:val="0"/>
        <w:shd w:val="clear" w:color="auto" w:fill="auto"/>
        <w:bidi w:val="0"/>
        <w:spacing w:before="0" w:after="0" w:line="322" w:lineRule="exact"/>
        <w:ind w:left="20" w:right="0" w:firstLine="660"/>
      </w:pPr>
      <w:r>
        <w:rPr>
          <w:lang w:val="ru-RU" w:eastAsia="ru-RU" w:bidi="ru-RU"/>
          <w:w w:val="100"/>
          <w:spacing w:val="0"/>
          <w:color w:val="000000"/>
          <w:position w:val="0"/>
        </w:rPr>
        <w:t xml:space="preserve"> финансовых ресурсов для исполнения контракта;</w:t>
      </w:r>
    </w:p>
    <w:p>
      <w:pPr>
        <w:pStyle w:val="Style5"/>
        <w:numPr>
          <w:ilvl w:val="0"/>
          <w:numId w:val="3"/>
        </w:numPr>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 xml:space="preserve"> на праве собственности или ином законном основании оборудования и других материальных ресурсов для исполнения контракта;</w:t>
      </w:r>
    </w:p>
    <w:p>
      <w:pPr>
        <w:pStyle w:val="Style5"/>
        <w:numPr>
          <w:ilvl w:val="0"/>
          <w:numId w:val="3"/>
        </w:numPr>
        <w:widowControl w:val="0"/>
        <w:keepNext w:val="0"/>
        <w:keepLines w:val="0"/>
        <w:shd w:val="clear" w:color="auto" w:fill="auto"/>
        <w:bidi w:val="0"/>
        <w:spacing w:before="0" w:after="0" w:line="322" w:lineRule="exact"/>
        <w:ind w:left="20" w:right="0" w:firstLine="660"/>
      </w:pPr>
      <w:r>
        <w:rPr>
          <w:lang w:val="ru-RU" w:eastAsia="ru-RU" w:bidi="ru-RU"/>
          <w:w w:val="100"/>
          <w:spacing w:val="0"/>
          <w:color w:val="000000"/>
          <w:position w:val="0"/>
        </w:rPr>
        <w:t xml:space="preserve"> опыта работы, связанного с предметом контракта, и деловой репутации;</w:t>
      </w:r>
    </w:p>
    <w:p>
      <w:pPr>
        <w:pStyle w:val="Style5"/>
        <w:numPr>
          <w:ilvl w:val="0"/>
          <w:numId w:val="3"/>
        </w:numPr>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 xml:space="preserve"> необходимого количества специалистов и иных работников определенного уровня квалификации для исполнения контракта.</w:t>
      </w:r>
    </w:p>
    <w:p>
      <w:pPr>
        <w:pStyle w:val="Style5"/>
        <w:tabs>
          <w:tab w:leader="none" w:pos="3615" w:val="left"/>
        </w:tabs>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 силу ч.3 ст.31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ч.2 и 2.1</w:t>
        <w:tab/>
        <w:t>ст.31 Закона о контрактной системе, устанавливается</w:t>
      </w:r>
    </w:p>
    <w:p>
      <w:pPr>
        <w:pStyle w:val="Style5"/>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Правительством Российской Федерации, в данном конкретном случае в соответствии с постановлением № 2571.</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Согласно ч.4 ст.31 Закона о контрактной системе в случае установления Правительством Российской Федерации в соответствии с ч.2 ст.31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pPr>
        <w:pStyle w:val="Style5"/>
        <w:tabs>
          <w:tab w:leader="none" w:pos="10911" w:val="right"/>
        </w:tabs>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Комиссией Управления установлено, что в соответствии с извещением о проведении открытого конкурса в электронной форме от 16.06.2022</w:t>
        <w:tab/>
        <w:t>№</w:t>
      </w:r>
    </w:p>
    <w:p>
      <w:pPr>
        <w:pStyle w:val="Style5"/>
        <w:tabs>
          <w:tab w:leader="none" w:pos="10335" w:val="center"/>
          <w:tab w:leader="none" w:pos="10911" w:val="righ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0373200122122000175 объектом закупки является техническое обслуживание систем видеонаблюдения, систем контроля и управления доступом в ГБУЗ «ПКБ № 4 ДЗМ» и филиалах в 2022-2023 гг. с начальной (максимальной) ценой контракта</w:t>
        <w:tab/>
        <w:t>9</w:t>
        <w:tab/>
        <w:t>818</w:t>
      </w:r>
    </w:p>
    <w:p>
      <w:pPr>
        <w:pStyle w:val="Style5"/>
        <w:widowControl w:val="0"/>
        <w:keepNext w:val="0"/>
        <w:keepLines w:val="0"/>
        <w:shd w:val="clear" w:color="auto" w:fill="auto"/>
        <w:bidi w:val="0"/>
        <w:spacing w:before="0" w:after="0" w:line="322" w:lineRule="exact"/>
        <w:ind w:left="20" w:right="0" w:firstLine="0"/>
      </w:pPr>
      <w:r>
        <w:rPr>
          <w:lang w:val="ru-RU" w:eastAsia="ru-RU" w:bidi="ru-RU"/>
          <w:w w:val="100"/>
          <w:spacing w:val="0"/>
          <w:color w:val="000000"/>
          <w:position w:val="0"/>
        </w:rPr>
        <w:t>124,77 рублей.</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Согласно п. 14 приложения к постановлению № 2571 при проведении конкурентных процедур по оказанию услуг по техническому обслуживанию зданий, сооружений, к участникам закупки устанавливаются дополнительные требования, подтверждающиеся наличием опыта исполнения участником закупки договора, предусматривающего выполнение работ по техническому обслуживанию зданий, сооружений. Цена выполненных работ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p>
      <w:pPr>
        <w:pStyle w:val="Style5"/>
        <w:widowControl w:val="0"/>
        <w:keepNext w:val="0"/>
        <w:keepLines w:val="0"/>
        <w:shd w:val="clear" w:color="auto" w:fill="auto"/>
        <w:bidi w:val="0"/>
        <w:spacing w:before="0" w:after="0" w:line="322" w:lineRule="exact"/>
        <w:ind w:left="20" w:right="20" w:firstLine="660"/>
      </w:pPr>
      <w:r>
        <w:rPr>
          <w:lang w:val="ru-RU" w:eastAsia="ru-RU" w:bidi="ru-RU"/>
          <w:w w:val="100"/>
          <w:spacing w:val="0"/>
          <w:color w:val="000000"/>
          <w:position w:val="0"/>
        </w:rPr>
        <w:t>В соответствии с п. «а» ч.3 постановления № 2571 положения постановления применяются при проведении конкурентных способов определения поставщиков (подрядчиков, исполнителей), при этом позиции, в том числе 14 приложения применяется в случае, если при осуществлении закупки начальная (максимальная)</w:t>
      </w:r>
    </w:p>
    <w:p>
      <w:pPr>
        <w:pStyle w:val="Style5"/>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цена контракта превышает 1 млн. рублей.</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В соответствии с ч.8 ст.55.24 Градостроительного кодекса Российской Федерации техническое обслуживание зданий, сооружений, текущий ремонт зданий, сооружений проводятся в целях обеспечения надлежащего технического состояния таких зданий, сооружений. Под надлежащим техническим состоянием зданий, сооружений понимаются поддержание параметров устойчивости, надежности зданий, сооружений, а также исправность строительных конструкций, систем инженерно-технического обеспечения, сетей инженерно-технического обеспечения, их элементов в соответствии с требованиями технических регламентов, проектной документации.</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Согласно п.21 ст.2 Федерального закона от 30.12.2009 № 384-ФЗ «Технический регламент о безопасности зданий и сооружений» система инженерно-технического обеспечения - одна из систем здания или сооружения, предназначенная для выполнения функций водоснабжения, канализации, отопления, вентиляции, кондиционирования воздуха, газоснабжения, электроснабжения, связи, информатизации, диспетчеризации, мусороудаления, вертикального транспорта (лифты, эскалаторы) или функций обеспечения безопасности.</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В силу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 При этом возражение на жалобу направляется в контрольный орган в сфере закупок не позднее рабочего дня, предшествующего дню рассмотрения жалобы по существу.</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На заседании Комиссии Управления представитель Заказчика пояснил, что согласно письму Министерства финансов РФ от 16.10.2012 № 07-02-06/247 не включаются в состав объекта недвижимого имущества учитываемые как отдельные инвентарные объекты основных средств, которые не требуют монтажа, могут быть использованы вне объекта недвижимого имущества, демонтаж которых не причиняет несоразмерного ущерба их назначению и (или) функциональное предназначение которых не является неотъемлемой частью функционирования объекта недвижимого имущества как единого обособленного комплекса (компьютеры, столы, транспортные средства, средства видеонаблюдения и др.).</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В ГБУЗ «ПКБ № 4 ДЗМ» системы видеонаблюдения, системы контроля и управления доступом стоят на балансе учреждения как отдельное оборудование, не составляют единого комплекса с объектом недвижимого имущества, и могут быть демонтированы в любой момент без причинения какого-либо ущерба.</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Вместе с тем Комиссия Управления не соглашается с выводами представителя Заказчика ввиду следующего.</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В Приложении к постановлению № 2571 дополнительные требования к участникам закупки установлены в отношении отдельных видов товаров, работ, услуг и сгруппированы в разделы в разрезе сферы закупаемых товаров, работ, услуг.</w:t>
      </w:r>
    </w:p>
    <w:p>
      <w:pPr>
        <w:pStyle w:val="Style5"/>
        <w:widowControl w:val="0"/>
        <w:keepNext w:val="0"/>
        <w:keepLines w:val="0"/>
        <w:shd w:val="clear" w:color="auto" w:fill="auto"/>
        <w:bidi w:val="0"/>
        <w:spacing w:before="0" w:after="0" w:line="322" w:lineRule="exact"/>
        <w:ind w:left="20" w:right="20" w:firstLine="620"/>
      </w:pPr>
      <w:r>
        <w:rPr>
          <w:lang w:val="ru-RU" w:eastAsia="ru-RU" w:bidi="ru-RU"/>
          <w:w w:val="100"/>
          <w:spacing w:val="0"/>
          <w:color w:val="000000"/>
          <w:position w:val="0"/>
        </w:rPr>
        <w:t>Абзацем вторым подпункта «а» пункта 3 Постановления № 2571 предусмотрено, что позиция Приложения к постановлению № 2571 применяется в случае, если объект закупки включает один или несколько закупаемых товаров, работ, услуг, указанных в соответствующей позиции в графе «Наименование отдельных видов товаров, работ, услуг, являющихся объектом закупки».</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Вид или сфера деятельности Заказчика не образует условия применения дополнительных требований к участникам закупки. Наименования разделов Приложения к Постановлению № 2571 сформированы в отношении сферы закупки (сферы закупаемых товаров, работ, услуг) и не предусматривают соотнесения с видами или сферами деятельности Заказчика.</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Вышеуказанная позиция отражена в письме Минфина России от 14.02.2022 №24-01</w:t>
        <w:softHyphen/>
        <w:t>09/10138.</w:t>
      </w:r>
    </w:p>
    <w:p>
      <w:pPr>
        <w:pStyle w:val="Style5"/>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Комиссией Управления установлено, что объект закупочной процедуры попадает под сферу градостроительной деятельности, ввиду чего объект закупки относится к Разделу </w:t>
      </w:r>
      <w:r>
        <w:rPr>
          <w:lang w:val="en-US" w:eastAsia="en-US" w:bidi="en-US"/>
          <w:w w:val="100"/>
          <w:spacing w:val="0"/>
          <w:color w:val="000000"/>
          <w:position w:val="0"/>
        </w:rPr>
        <w:t xml:space="preserve">II </w:t>
      </w:r>
      <w:r>
        <w:rPr>
          <w:lang w:val="ru-RU" w:eastAsia="ru-RU" w:bidi="ru-RU"/>
          <w:w w:val="100"/>
          <w:spacing w:val="0"/>
          <w:color w:val="000000"/>
          <w:position w:val="0"/>
        </w:rPr>
        <w:t>«Дополнительные требования к участникам закупки в сфере градостроительной деятельности, информация и документы, подтверждающие соответствие участников закупок таким дополнительным требованиям» и соответственно Заказчику надлежало установить дополнительные требования к участникам закупки в соответствии с требованиями п.14 Приложения к Постановлению №2571.</w:t>
      </w:r>
    </w:p>
    <w:p>
      <w:pPr>
        <w:pStyle w:val="Style5"/>
        <w:tabs>
          <w:tab w:leader="none" w:pos="4397" w:val="left"/>
        </w:tabs>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основании вышеизложенного Комиссия Управления приходит к выводу о нарушении Заказчика ч.4 ст.31, п.12 ч.1 ст.42 Закона о контрактной системе, что содержит признаки состава административного правонарушения, ответственность за которое предусмотрена ч.4</w:t>
        <w:tab/>
        <w:t>ст.7.30 Кодекса Российской Федерации об</w:t>
      </w:r>
    </w:p>
    <w:p>
      <w:pPr>
        <w:pStyle w:val="Style5"/>
        <w:widowControl w:val="0"/>
        <w:keepNext w:val="0"/>
        <w:keepLines w:val="0"/>
        <w:shd w:val="clear" w:color="auto" w:fill="auto"/>
        <w:bidi w:val="0"/>
        <w:spacing w:before="0" w:after="0" w:line="322" w:lineRule="exact"/>
        <w:ind w:left="0" w:right="0" w:firstLine="0"/>
      </w:pPr>
      <w:r>
        <w:rPr>
          <w:lang w:val="ru-RU" w:eastAsia="ru-RU" w:bidi="ru-RU"/>
          <w:w w:val="100"/>
          <w:spacing w:val="0"/>
          <w:color w:val="000000"/>
          <w:position w:val="0"/>
        </w:rPr>
        <w:t>административных правонарушениях.</w:t>
      </w:r>
    </w:p>
    <w:p>
      <w:pPr>
        <w:pStyle w:val="Style5"/>
        <w:widowControl w:val="0"/>
        <w:keepNext w:val="0"/>
        <w:keepLines w:val="0"/>
        <w:shd w:val="clear" w:color="auto" w:fill="auto"/>
        <w:bidi w:val="0"/>
        <w:jc w:val="left"/>
        <w:spacing w:before="0" w:after="289" w:line="322" w:lineRule="exact"/>
        <w:ind w:left="0" w:right="20" w:firstLine="36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12"/>
        <w:widowControl w:val="0"/>
        <w:keepNext/>
        <w:keepLines/>
        <w:shd w:val="clear" w:color="auto" w:fill="auto"/>
        <w:bidi w:val="0"/>
        <w:jc w:val="left"/>
        <w:spacing w:before="0" w:after="304" w:line="260" w:lineRule="exact"/>
        <w:ind w:left="4860" w:right="0" w:firstLine="0"/>
      </w:pPr>
      <w:bookmarkStart w:id="1" w:name="bookmark1"/>
      <w:r>
        <w:rPr>
          <w:lang w:val="ru-RU" w:eastAsia="ru-RU" w:bidi="ru-RU"/>
          <w:w w:val="100"/>
          <w:spacing w:val="0"/>
          <w:color w:val="000000"/>
          <w:position w:val="0"/>
        </w:rPr>
        <w:t>Р Е Ш И Л А:</w:t>
      </w:r>
      <w:bookmarkEnd w:id="1"/>
    </w:p>
    <w:p>
      <w:pPr>
        <w:pStyle w:val="Style5"/>
        <w:numPr>
          <w:ilvl w:val="0"/>
          <w:numId w:val="5"/>
        </w:numPr>
        <w:widowControl w:val="0"/>
        <w:keepNext w:val="0"/>
        <w:keepLines w:val="0"/>
        <w:shd w:val="clear" w:color="auto" w:fill="auto"/>
        <w:bidi w:val="0"/>
        <w:spacing w:before="0" w:after="0" w:line="326" w:lineRule="exact"/>
        <w:ind w:left="0" w:right="20" w:firstLine="680"/>
      </w:pPr>
      <w:r>
        <w:rPr>
          <w:lang w:val="ru-RU" w:eastAsia="ru-RU" w:bidi="ru-RU"/>
          <w:w w:val="100"/>
          <w:spacing w:val="0"/>
          <w:color w:val="000000"/>
          <w:position w:val="0"/>
        </w:rPr>
        <w:t xml:space="preserve"> Признать жалобу ООО «Полимер-Рус» на действия ГБУЗ «ПКБ № 4 ДЗМ» обоснованной.</w:t>
      </w:r>
    </w:p>
    <w:p>
      <w:pPr>
        <w:pStyle w:val="Style5"/>
        <w:numPr>
          <w:ilvl w:val="0"/>
          <w:numId w:val="5"/>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Признать в действиях Заказчика нарушение ч.4 ст.31, п.12 ч.1 ст.42 Закона о контрактной системе.</w:t>
      </w:r>
    </w:p>
    <w:p>
      <w:pPr>
        <w:pStyle w:val="Style5"/>
        <w:numPr>
          <w:ilvl w:val="0"/>
          <w:numId w:val="5"/>
        </w:numPr>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5"/>
        <w:numPr>
          <w:ilvl w:val="0"/>
          <w:numId w:val="5"/>
        </w:numPr>
        <w:widowControl w:val="0"/>
        <w:keepNext w:val="0"/>
        <w:keepLines w:val="0"/>
        <w:shd w:val="clear" w:color="auto" w:fill="auto"/>
        <w:bidi w:val="0"/>
        <w:spacing w:before="0" w:after="236" w:line="317" w:lineRule="exact"/>
        <w:ind w:left="0" w:right="2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w:t>
      </w:r>
      <w:r>
        <w:rPr>
          <w:rStyle w:val="CharStyle14"/>
        </w:rPr>
        <w:t>УФАС</w:t>
      </w:r>
      <w:r>
        <w:rPr>
          <w:lang w:val="ru-RU" w:eastAsia="ru-RU" w:bidi="ru-RU"/>
          <w:w w:val="100"/>
          <w:spacing w:val="0"/>
          <w:color w:val="000000"/>
          <w:position w:val="0"/>
        </w:rPr>
        <w:t xml:space="preserve"> России для рассмотрения вопроса о возбуждении дела об административном правонарушении.</w:t>
      </w:r>
    </w:p>
    <w:p>
      <w:pPr>
        <w:pStyle w:val="Style5"/>
        <w:widowControl w:val="0"/>
        <w:keepNext w:val="0"/>
        <w:keepLines w:val="0"/>
        <w:shd w:val="clear" w:color="auto" w:fill="auto"/>
        <w:bidi w:val="0"/>
        <w:spacing w:before="0" w:after="21" w:line="322" w:lineRule="exact"/>
        <w:ind w:left="0" w:right="2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5"/>
        <w:tabs>
          <w:tab w:leader="none" w:pos="9792" w:val="right"/>
          <w:tab w:leader="none" w:pos="10838" w:val="right"/>
        </w:tabs>
        <w:widowControl w:val="0"/>
        <w:keepNext w:val="0"/>
        <w:keepLines w:val="0"/>
        <w:shd w:val="clear" w:color="auto" w:fill="auto"/>
        <w:bidi w:val="0"/>
        <w:spacing w:before="0" w:after="0" w:line="595" w:lineRule="exact"/>
        <w:ind w:left="0" w:right="0" w:firstLine="0"/>
      </w:pPr>
      <w:r>
        <w:rPr>
          <w:lang w:val="ru-RU" w:eastAsia="ru-RU" w:bidi="ru-RU"/>
          <w:w w:val="100"/>
          <w:spacing w:val="0"/>
          <w:color w:val="000000"/>
          <w:position w:val="0"/>
        </w:rPr>
        <w:t>Председательствующий</w:t>
        <w:tab/>
        <w:t>С.И.</w:t>
        <w:tab/>
        <w:t>Казарин</w:t>
      </w:r>
    </w:p>
    <w:p>
      <w:pPr>
        <w:pStyle w:val="Style5"/>
        <w:tabs>
          <w:tab w:leader="none" w:pos="9955" w:val="right"/>
          <w:tab w:leader="none" w:pos="10838" w:val="right"/>
        </w:tabs>
        <w:widowControl w:val="0"/>
        <w:keepNext w:val="0"/>
        <w:keepLines w:val="0"/>
        <w:shd w:val="clear" w:color="auto" w:fill="auto"/>
        <w:bidi w:val="0"/>
        <w:spacing w:before="0" w:after="0" w:line="595" w:lineRule="exact"/>
        <w:ind w:left="0" w:right="0" w:firstLine="0"/>
      </w:pPr>
      <w:r>
        <w:rPr>
          <w:lang w:val="ru-RU" w:eastAsia="ru-RU" w:bidi="ru-RU"/>
          <w:w w:val="100"/>
          <w:spacing w:val="0"/>
          <w:color w:val="000000"/>
          <w:position w:val="0"/>
        </w:rPr>
        <w:t>Члены Комиссии:</w:t>
        <w:tab/>
        <w:t>Э.З.</w:t>
        <w:tab/>
        <w:t>Гугава</w:t>
      </w:r>
    </w:p>
    <w:p>
      <w:pPr>
        <w:pStyle w:val="Style5"/>
        <w:widowControl w:val="0"/>
        <w:keepNext w:val="0"/>
        <w:keepLines w:val="0"/>
        <w:shd w:val="clear" w:color="auto" w:fill="auto"/>
        <w:bidi w:val="0"/>
        <w:jc w:val="right"/>
        <w:spacing w:before="0" w:after="0" w:line="595" w:lineRule="exact"/>
        <w:ind w:left="0" w:right="20" w:firstLine="0"/>
      </w:pPr>
      <w:r>
        <w:rPr>
          <w:lang w:val="ru-RU" w:eastAsia="ru-RU" w:bidi="ru-RU"/>
          <w:w w:val="100"/>
          <w:spacing w:val="0"/>
          <w:color w:val="000000"/>
          <w:position w:val="0"/>
        </w:rPr>
        <w:t>М.О. Мацнева</w:t>
      </w:r>
    </w:p>
    <w:p>
      <w:pPr>
        <w:pStyle w:val="Style15"/>
        <w:widowControl w:val="0"/>
        <w:keepNext w:val="0"/>
        <w:keepLines w:val="0"/>
        <w:shd w:val="clear" w:color="auto" w:fill="auto"/>
        <w:bidi w:val="0"/>
        <w:jc w:val="left"/>
        <w:spacing w:before="0" w:after="0"/>
        <w:ind w:left="0" w:right="9080" w:firstLine="0"/>
      </w:pPr>
      <w:r>
        <w:rPr>
          <w:lang w:val="ru-RU" w:eastAsia="ru-RU" w:bidi="ru-RU"/>
          <w:w w:val="100"/>
          <w:spacing w:val="0"/>
          <w:color w:val="000000"/>
          <w:position w:val="0"/>
        </w:rPr>
        <w:t>Исп.Мацнева М.О. тел.8(495)784-75-05</w:t>
      </w:r>
    </w:p>
    <w:sectPr>
      <w:headerReference w:type="default" r:id="rId9"/>
      <w:footerReference w:type="default" r:id="rId10"/>
      <w:footerReference w:type="first" r:id="rId11"/>
      <w:titlePg/>
      <w:footnotePr>
        <w:pos w:val="pageBottom"/>
        <w:numFmt w:val="decimal"/>
        <w:numRestart w:val="continuous"/>
      </w:footnotePr>
      <w:type w:val="continuous"/>
      <w:pgSz w:w="11909" w:h="16838"/>
      <w:pgMar w:top="1379" w:left="490" w:right="475" w:bottom="736"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25.2pt;margin-top:807.5pt;width:56.65pt;height:7.9pt;z-index:-188744063;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2022-37881</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30" type="#_x0000_t202" style="position:absolute;margin-left:27.pt;margin-top:811.55pt;width:56.4pt;height:7.9pt;z-index:-188744062;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r>
                  <w:rPr>
                    <w:rStyle w:val="CharStyle9"/>
                    <w:b/>
                    <w:bCs/>
                  </w:rPr>
                  <w:t>2022-37881</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8" type="#_x0000_t202" style="position:absolute;margin-left:295.45pt;margin-top:45.pt;width:5.3pt;height:7.9pt;z-index:-188744064;mso-wrap-style:none;mso-wrap-distance-left:5.pt;mso-wrap-distance-right:5.pt;mso-position-horizontal-relative:page;mso-position-vertical-relative:page" wrapcoords="0 0" filled="f" stroked="f">
          <v:textbox style="mso-fit-shape-to-text:t" inset="0,0,0,0">
            <w:txbxContent>
              <w:p>
                <w:pPr>
                  <w:pStyle w:val="Style7"/>
                  <w:widowControl w:val="0"/>
                  <w:keepNext w:val="0"/>
                  <w:keepLines w:val="0"/>
                  <w:shd w:val="clear" w:color="auto" w:fill="auto"/>
                  <w:bidi w:val="0"/>
                  <w:jc w:val="left"/>
                  <w:spacing w:before="0" w:after="0" w:line="240" w:lineRule="auto"/>
                  <w:ind w:left="0" w:right="0" w:firstLine="0"/>
                </w:pPr>
                <w:fldSimple w:instr=" PAGE \* MERGEFORMAT ">
                  <w:r>
                    <w:rPr>
                      <w:rStyle w:val="CharStyle9"/>
                      <w:b/>
                      <w:bCs/>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Колонтитул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9">
    <w:name w:val="Колонтитул"/>
    <w:basedOn w:val="CharStyle8"/>
    <w:rPr>
      <w:lang w:val="ru-RU" w:eastAsia="ru-RU" w:bidi="ru-RU"/>
      <w:w w:val="100"/>
      <w:spacing w:val="0"/>
      <w:color w:val="000000"/>
      <w:position w:val="0"/>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6"/>
    <w:rPr>
      <w:lang w:val="ru-RU" w:eastAsia="ru-RU" w:bidi="ru-RU"/>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20"/>
      <w:szCs w:val="20"/>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Колонтитул"/>
    <w:basedOn w:val="Normal"/>
    <w:link w:val="CharStyle8"/>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1200" w:after="24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line="250" w:lineRule="exact"/>
    </w:pPr>
    <w:rPr>
      <w:b/>
      <w:bCs/>
      <w:i w:val="0"/>
      <w:iCs w:val="0"/>
      <w:u w:val="none"/>
      <w:strike w:val="0"/>
      <w:smallCaps w:val="0"/>
      <w:sz w:val="20"/>
      <w:szCs w:val="2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s>
</file>