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5165" w:wrap="around" w:hAnchor="margin" w:x="35" w:y="-983"/>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207pt;height:258pt;">
            <v:imagedata r:id="rId5" r:href="rId6"/>
          </v:shape>
        </w:pict>
      </w:r>
    </w:p>
    <w:p>
      <w:pPr>
        <w:pStyle w:val="Style5"/>
        <w:widowControl w:val="0"/>
        <w:keepNext w:val="0"/>
        <w:keepLines w:val="0"/>
        <w:shd w:val="clear" w:color="auto" w:fill="auto"/>
        <w:bidi w:val="0"/>
        <w:spacing w:before="0" w:after="303" w:line="260" w:lineRule="exact"/>
        <w:ind w:left="0" w:right="20" w:firstLine="0"/>
      </w:pPr>
      <w:r>
        <w:rPr>
          <w:lang w:val="ru-RU" w:eastAsia="ru-RU" w:bidi="ru-RU"/>
          <w:w w:val="100"/>
          <w:spacing w:val="0"/>
          <w:color w:val="000000"/>
          <w:position w:val="0"/>
        </w:rPr>
        <w:t>ГБУ «Автомобильные дороги ЗАО»</w:t>
      </w:r>
    </w:p>
    <w:p>
      <w:pPr>
        <w:pStyle w:val="Style5"/>
        <w:widowControl w:val="0"/>
        <w:keepNext w:val="0"/>
        <w:keepLines w:val="0"/>
        <w:shd w:val="clear" w:color="auto" w:fill="auto"/>
        <w:bidi w:val="0"/>
        <w:jc w:val="both"/>
        <w:spacing w:before="0" w:after="300" w:line="322" w:lineRule="exact"/>
        <w:ind w:left="1160" w:right="20" w:firstLine="0"/>
      </w:pPr>
      <w:r>
        <w:rPr>
          <w:lang w:val="ru-RU" w:eastAsia="ru-RU" w:bidi="ru-RU"/>
          <w:w w:val="100"/>
          <w:spacing w:val="0"/>
          <w:color w:val="000000"/>
          <w:position w:val="0"/>
        </w:rPr>
        <w:t>ул. Кременчугская, д. 7, корп. 2, г. Москва, 121352</w:t>
      </w:r>
    </w:p>
    <w:p>
      <w:pPr>
        <w:pStyle w:val="Style5"/>
        <w:widowControl w:val="0"/>
        <w:keepNext w:val="0"/>
        <w:keepLines w:val="0"/>
        <w:shd w:val="clear" w:color="auto" w:fill="auto"/>
        <w:bidi w:val="0"/>
        <w:jc w:val="both"/>
        <w:spacing w:before="0" w:after="304" w:line="322" w:lineRule="exact"/>
        <w:ind w:left="1160" w:right="20" w:firstLine="0"/>
      </w:pPr>
      <w:r>
        <w:rPr>
          <w:lang w:val="ru-RU" w:eastAsia="ru-RU" w:bidi="ru-RU"/>
          <w:w w:val="100"/>
          <w:spacing w:val="0"/>
          <w:color w:val="000000"/>
          <w:position w:val="0"/>
        </w:rPr>
        <w:t>Департамент города Москвы по Конкурентной политике</w:t>
      </w:r>
    </w:p>
    <w:p>
      <w:pPr>
        <w:pStyle w:val="Style5"/>
        <w:widowControl w:val="0"/>
        <w:keepNext w:val="0"/>
        <w:keepLines w:val="0"/>
        <w:shd w:val="clear" w:color="auto" w:fill="auto"/>
        <w:bidi w:val="0"/>
        <w:jc w:val="both"/>
        <w:spacing w:before="0" w:after="346" w:line="317" w:lineRule="exact"/>
        <w:ind w:left="1160" w:right="20" w:firstLine="0"/>
      </w:pPr>
      <w:r>
        <w:rPr>
          <w:lang w:val="ru-RU" w:eastAsia="ru-RU" w:bidi="ru-RU"/>
          <w:w w:val="100"/>
          <w:spacing w:val="0"/>
          <w:color w:val="000000"/>
          <w:position w:val="0"/>
        </w:rPr>
        <w:t>ул. Макаренко, д. 4, стр. 1, г. Москва, 105062</w:t>
      </w:r>
    </w:p>
    <w:p>
      <w:pPr>
        <w:pStyle w:val="Style5"/>
        <w:widowControl w:val="0"/>
        <w:keepNext w:val="0"/>
        <w:keepLines w:val="0"/>
        <w:shd w:val="clear" w:color="auto" w:fill="auto"/>
        <w:bidi w:val="0"/>
        <w:spacing w:before="0" w:after="303" w:line="260" w:lineRule="exact"/>
        <w:ind w:left="0" w:right="20" w:firstLine="0"/>
      </w:pPr>
      <w:r>
        <w:rPr>
          <w:lang w:val="ru-RU" w:eastAsia="ru-RU" w:bidi="ru-RU"/>
          <w:w w:val="100"/>
          <w:spacing w:val="0"/>
          <w:color w:val="000000"/>
          <w:position w:val="0"/>
        </w:rPr>
        <w:t>ООО «СКС Групп»</w:t>
      </w:r>
    </w:p>
    <w:p>
      <w:pPr>
        <w:pStyle w:val="Style5"/>
        <w:widowControl w:val="0"/>
        <w:keepNext w:val="0"/>
        <w:keepLines w:val="0"/>
        <w:shd w:val="clear" w:color="auto" w:fill="auto"/>
        <w:bidi w:val="0"/>
        <w:jc w:val="left"/>
        <w:spacing w:before="0" w:after="349" w:line="322" w:lineRule="exact"/>
        <w:ind w:left="5340" w:right="340" w:firstLine="0"/>
      </w:pPr>
      <w:r>
        <w:rPr>
          <w:lang w:val="ru-RU" w:eastAsia="ru-RU" w:bidi="ru-RU"/>
          <w:w w:val="100"/>
          <w:spacing w:val="0"/>
          <w:color w:val="000000"/>
          <w:position w:val="0"/>
        </w:rPr>
        <w:t>Дмитровское ш., д. 25, корп. 1, эт. 1, пом. XXIII, комн., 10, оф. 1, г. Москва, 127434</w:t>
      </w:r>
    </w:p>
    <w:p>
      <w:pPr>
        <w:pStyle w:val="Style5"/>
        <w:widowControl w:val="0"/>
        <w:keepNext w:val="0"/>
        <w:keepLines w:val="0"/>
        <w:shd w:val="clear" w:color="auto" w:fill="auto"/>
        <w:bidi w:val="0"/>
        <w:jc w:val="left"/>
        <w:spacing w:before="0" w:after="352" w:line="260" w:lineRule="exact"/>
        <w:ind w:left="5340" w:right="0" w:firstLine="0"/>
      </w:pPr>
      <w:r>
        <w:rPr>
          <w:lang w:val="ru-RU" w:eastAsia="ru-RU" w:bidi="ru-RU"/>
          <w:w w:val="100"/>
          <w:spacing w:val="0"/>
          <w:color w:val="000000"/>
          <w:position w:val="0"/>
        </w:rPr>
        <w:t>АО «ЕЭТП»</w:t>
      </w:r>
    </w:p>
    <w:p>
      <w:pPr>
        <w:pStyle w:val="Style5"/>
        <w:widowControl w:val="0"/>
        <w:keepNext w:val="0"/>
        <w:keepLines w:val="0"/>
        <w:shd w:val="clear" w:color="auto" w:fill="auto"/>
        <w:bidi w:val="0"/>
        <w:spacing w:before="0" w:after="298" w:line="260" w:lineRule="exact"/>
        <w:ind w:left="0" w:right="20" w:firstLine="0"/>
      </w:pPr>
      <w:r>
        <w:rPr>
          <w:lang w:val="ru-RU" w:eastAsia="ru-RU" w:bidi="ru-RU"/>
          <w:w w:val="100"/>
          <w:spacing w:val="0"/>
          <w:color w:val="000000"/>
          <w:position w:val="0"/>
        </w:rPr>
        <w:t>60-я Октября пр., д. 9, г. Москва, 117312</w:t>
      </w:r>
    </w:p>
    <w:p>
      <w:pPr>
        <w:pStyle w:val="Style10"/>
        <w:tabs>
          <w:tab w:leader="none" w:pos="11721" w:val="right"/>
          <w:tab w:leader="none" w:pos="12777" w:val="right"/>
        </w:tabs>
        <w:widowControl w:val="0"/>
        <w:keepNext w:val="0"/>
        <w:keepLines w:val="0"/>
        <w:shd w:val="clear" w:color="auto" w:fill="auto"/>
        <w:bidi w:val="0"/>
        <w:jc w:val="left"/>
        <w:spacing w:before="0" w:after="0"/>
        <w:ind w:left="2620" w:right="2000" w:firstLine="1960"/>
      </w:pPr>
      <w:r>
        <w:rPr>
          <w:lang w:val="ru-RU" w:eastAsia="ru-RU" w:bidi="ru-RU"/>
          <w:w w:val="100"/>
          <w:spacing w:val="0"/>
          <w:color w:val="000000"/>
          <w:position w:val="0"/>
        </w:rPr>
        <w:t>РЕШЕНИЕ по делу № 077/06/106-9925/2022 о нарушении законодательства о контрактной системе</w:t>
      </w:r>
    </w:p>
    <w:p>
      <w:pPr>
        <w:pStyle w:val="Style10"/>
        <w:numPr>
          <w:ilvl w:val="0"/>
          <w:numId w:val="1"/>
        </w:numPr>
        <w:tabs>
          <w:tab w:leader="none" w:pos="9141" w:val="right"/>
          <w:tab w:leader="none" w:pos="10197" w:val="right"/>
          <w:tab w:leader="none" w:pos="8997" w:val="left"/>
        </w:tabs>
        <w:widowControl w:val="0"/>
        <w:keepNext w:val="0"/>
        <w:keepLines w:val="0"/>
        <w:shd w:val="clear" w:color="auto" w:fill="auto"/>
        <w:bidi w:val="0"/>
        <w:jc w:val="both"/>
        <w:spacing w:before="0" w:after="0"/>
        <w:ind w:left="40" w:right="0" w:firstLine="0"/>
      </w:pPr>
      <w:r>
        <w:rPr>
          <w:lang w:val="ru-RU" w:eastAsia="ru-RU" w:bidi="ru-RU"/>
          <w:w w:val="100"/>
          <w:spacing w:val="0"/>
          <w:color w:val="000000"/>
          <w:position w:val="0"/>
        </w:rPr>
        <w:t>г.</w:t>
        <w:tab/>
        <w:t>Москва</w:t>
      </w:r>
    </w:p>
    <w:p>
      <w:pPr>
        <w:pStyle w:val="Style5"/>
        <w:widowControl w:val="0"/>
        <w:keepNext w:val="0"/>
        <w:keepLines w:val="0"/>
        <w:shd w:val="clear" w:color="auto" w:fill="auto"/>
        <w:bidi w:val="0"/>
        <w:jc w:val="both"/>
        <w:spacing w:before="0" w:after="0" w:line="322" w:lineRule="exact"/>
        <w:ind w:left="40" w:right="20" w:firstLine="5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Председательствующего — заместителя начальника отдела обжалования государственных закупок К.А. Сомова,</w:t>
      </w:r>
    </w:p>
    <w:p>
      <w:pPr>
        <w:pStyle w:val="Style5"/>
        <w:widowControl w:val="0"/>
        <w:keepNext w:val="0"/>
        <w:keepLines w:val="0"/>
        <w:shd w:val="clear" w:color="auto" w:fill="auto"/>
        <w:bidi w:val="0"/>
        <w:jc w:val="both"/>
        <w:spacing w:before="0" w:after="0" w:line="322" w:lineRule="exact"/>
        <w:ind w:left="40" w:right="0" w:firstLine="68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Специалиста-эксперта отдела обжалования государственных закупок А.З. Касимовой,</w:t>
      </w:r>
    </w:p>
    <w:p>
      <w:pPr>
        <w:pStyle w:val="Style5"/>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Специалиста-эксперта отдела обжалования государственных закупок Е.О. Сгибнева,</w:t>
      </w:r>
    </w:p>
    <w:p>
      <w:pPr>
        <w:pStyle w:val="Style5"/>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widowControl w:val="0"/>
        <w:keepNext w:val="0"/>
        <w:keepLines w:val="0"/>
        <w:shd w:val="clear" w:color="auto" w:fill="auto"/>
        <w:bidi w:val="0"/>
        <w:jc w:val="both"/>
        <w:spacing w:before="0" w:after="0" w:line="322" w:lineRule="exact"/>
        <w:ind w:left="40" w:right="0" w:firstLine="680"/>
      </w:pPr>
      <w:r>
        <w:rPr>
          <w:lang w:val="ru-RU" w:eastAsia="ru-RU" w:bidi="ru-RU"/>
          <w:w w:val="100"/>
          <w:spacing w:val="0"/>
          <w:color w:val="000000"/>
          <w:position w:val="0"/>
        </w:rPr>
        <w:t>при участии представителей:</w:t>
      </w:r>
    </w:p>
    <w:p>
      <w:pPr>
        <w:pStyle w:val="Style3"/>
        <w:framePr w:w="1685" w:h="394" w:wrap="around" w:vAnchor="text" w:hAnchor="margin" w:x="385" w:y="1023"/>
        <w:widowControl w:val="0"/>
        <w:keepNext w:val="0"/>
        <w:keepLines w:val="0"/>
        <w:shd w:val="clear" w:color="auto" w:fill="auto"/>
        <w:bidi w:val="0"/>
        <w:jc w:val="left"/>
        <w:spacing w:before="0" w:after="0" w:line="240" w:lineRule="auto"/>
        <w:ind w:left="0" w:right="0" w:firstLine="0"/>
      </w:pPr>
      <w:r>
        <w:rPr>
          <w:w w:val="100"/>
          <w:spacing w:val="0"/>
          <w:color w:val="000000"/>
          <w:position w:val="0"/>
        </w:rPr>
        <w:t>001680751187</w:t>
      </w:r>
    </w:p>
    <w:p>
      <w:pPr>
        <w:pStyle w:val="Style5"/>
        <w:widowControl w:val="0"/>
        <w:keepNext w:val="0"/>
        <w:keepLines w:val="0"/>
        <w:shd w:val="clear" w:color="auto" w:fill="auto"/>
        <w:bidi w:val="0"/>
        <w:jc w:val="both"/>
        <w:spacing w:before="0" w:after="356" w:line="322" w:lineRule="exact"/>
        <w:ind w:left="40" w:right="20" w:firstLine="680"/>
      </w:pPr>
      <w:r>
        <w:rPr>
          <w:lang w:val="ru-RU" w:eastAsia="ru-RU" w:bidi="ru-RU"/>
          <w:w w:val="100"/>
          <w:spacing w:val="0"/>
          <w:color w:val="000000"/>
          <w:position w:val="0"/>
        </w:rPr>
        <w:t>ГБУ «Автомобильные дороги ЗАО»: В.Г. Мурзина (по дов. №б/н от 28.06.2022),</w:t>
      </w:r>
    </w:p>
    <w:p>
      <w:pPr>
        <w:framePr w:h="461" w:wrap="notBeside" w:vAnchor="text" w:hAnchor="text" w:y="1"/>
        <w:widowControl w:val="0"/>
        <w:jc w:val="left"/>
        <w:rPr>
          <w:sz w:val="2"/>
          <w:szCs w:val="2"/>
        </w:rPr>
      </w:pPr>
      <w:r>
        <w:pict>
          <v:shape id="_x0000_s1027" type="#_x0000_t75" style="width:126pt;height:23pt;">
            <v:imagedata r:id="rId7" r:href="rId8"/>
          </v:shape>
        </w:pict>
      </w:r>
    </w:p>
    <w:p>
      <w:pPr>
        <w:widowControl w:val="0"/>
        <w:rPr>
          <w:sz w:val="2"/>
          <w:szCs w:val="2"/>
        </w:rPr>
      </w:pPr>
      <w:r>
        <w:br w:type="page"/>
      </w:r>
    </w:p>
    <w:p>
      <w:pPr>
        <w:widowControl w:val="0"/>
      </w:pPr>
      <w:r>
        <w:br w:type="page"/>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Департамента города Москвы по Конкурентной политике: Е.В. Богдановой (по дов. №77-13-13/21-30 от 07.09.2021),</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ООО «СКС Групп»: Е.В. Косяна (по дов. №б/н от 28.04.2022), И.В. Ярлыкова (по дов. №б/н от 28.04.2022),</w:t>
      </w:r>
    </w:p>
    <w:p>
      <w:pPr>
        <w:pStyle w:val="Style5"/>
        <w:tabs>
          <w:tab w:leader="none" w:pos="4700" w:val="right"/>
          <w:tab w:leader="none" w:pos="5046" w:val="lef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рассмотрев жалобу ООО «СКС Групп» (далее — Заявитель) на действия ГБУ «Автомобильные дороги ЗАО» (далее — Заказчик) при проведении электронного аукциона на право заключения государственного контракта на выполнение работ по обустройству территорий ЗАО города Москвы в 2022 г. (Закупка №</w:t>
        <w:tab/>
        <w:t>0173200001422000656)</w:t>
        <w:tab/>
        <w:t>(далее — Аукцион), в соответствии</w:t>
      </w:r>
    </w:p>
    <w:p>
      <w:pPr>
        <w:pStyle w:val="Style5"/>
        <w:widowControl w:val="0"/>
        <w:keepNext w:val="0"/>
        <w:keepLines w:val="0"/>
        <w:shd w:val="clear" w:color="auto" w:fill="auto"/>
        <w:bidi w:val="0"/>
        <w:jc w:val="both"/>
        <w:spacing w:before="0" w:after="349" w:line="322" w:lineRule="exact"/>
        <w:ind w:left="20" w:right="20" w:firstLine="0"/>
      </w:pPr>
      <w:r>
        <w:rPr>
          <w:lang w:val="ru-RU" w:eastAsia="ru-RU" w:bidi="ru-RU"/>
          <w:w w:val="100"/>
          <w:spacing w:val="0"/>
          <w:color w:val="000000"/>
          <w:position w:val="0"/>
        </w:rPr>
        <w:t>с Федеральным законом от 05.04.2013 № 44-ФЗ «О контрактной системе в сфере закупок товаров, работ, услуг для обеспечения государственных и мун</w:t>
      </w:r>
      <w:r>
        <w:rPr>
          <w:rStyle w:val="CharStyle12"/>
        </w:rPr>
        <w:t>ици</w:t>
      </w:r>
      <w:r>
        <w:rPr>
          <w:lang w:val="ru-RU" w:eastAsia="ru-RU" w:bidi="ru-RU"/>
          <w:w w:val="100"/>
          <w:spacing w:val="0"/>
          <w:color w:val="000000"/>
          <w:position w:val="0"/>
        </w:rPr>
        <w:t>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w:t>
      </w:r>
    </w:p>
    <w:p>
      <w:pPr>
        <w:pStyle w:val="Style13"/>
        <w:widowControl w:val="0"/>
        <w:keepNext/>
        <w:keepLines/>
        <w:shd w:val="clear" w:color="auto" w:fill="auto"/>
        <w:bidi w:val="0"/>
        <w:spacing w:before="0" w:after="303" w:line="260" w:lineRule="exact"/>
        <w:ind w:left="0" w:right="34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электронного аукциона.</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Заявитель обжалует действия Заказчика, выразившиеся в отказе от заключения контракта без обоснования такого решения в протоколе.</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заседание Комиссии Управления Заказчиком представлены документы и сведения, запрашиваемые письмом Московского УФАС России исх. №ЕИ/33835/22 от 27.06.2022.</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Комиссией Управления установлено следующее.</w:t>
      </w:r>
    </w:p>
    <w:p>
      <w:pPr>
        <w:pStyle w:val="Style5"/>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В соответствии с протоколом об отказе от заключения контракта от</w:t>
      </w:r>
    </w:p>
    <w:p>
      <w:pPr>
        <w:pStyle w:val="Style5"/>
        <w:numPr>
          <w:ilvl w:val="0"/>
          <w:numId w:val="3"/>
        </w:numPr>
        <w:tabs>
          <w:tab w:leader="none" w:pos="1484" w:val="lef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№ПОК20_1 Заказчиком принято решение об отказе от заключения контракта с ООО «СКС Групп» на следующем основании: «несоответствие ч.1 ст.31 44-ФЗ: выписка из реестра».</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силу ч.9 ст.31 Закона о контрактной системе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 участник закупки не соответствует требованиям, указанным в части 1, частях 1.1, 2 и 2.1 (при наличии таких требований) ст.31 Закона о контрактной системе, или предоставил недостоверную информацию в отношении своего соответствия указанным требованиям.</w:t>
      </w:r>
    </w:p>
    <w:p>
      <w:pPr>
        <w:pStyle w:val="Style5"/>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 xml:space="preserve">Согласно ч.11 ст.31 Закона о контрактной системе в случае отказа заказчика от заключения контракта с победителем определения поставщика (подрядчика, исполнителя) по основаниям, предусмотренным ч.9 и 10 ст.31 Закона о контрактной системе, заказчик не позднее одного рабочего дня, следующего за днем установления факта, являющегося основанием для такого отказа,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протокол об отказе от заключения контракта, </w:t>
      </w:r>
      <w:r>
        <w:rPr>
          <w:rStyle w:val="CharStyle15"/>
        </w:rPr>
        <w:t>содержащий информацию</w:t>
      </w:r>
      <w:r>
        <w:rPr>
          <w:lang w:val="ru-RU" w:eastAsia="ru-RU" w:bidi="ru-RU"/>
          <w:w w:val="100"/>
          <w:spacing w:val="0"/>
          <w:color w:val="000000"/>
          <w:position w:val="0"/>
        </w:rPr>
        <w:t xml:space="preserve"> об идентификационном номере заявки на участие в закупке, поданной таким победителем, </w:t>
      </w:r>
      <w:r>
        <w:rPr>
          <w:rStyle w:val="CharStyle15"/>
        </w:rPr>
        <w:t>о факте, являющемся основанием для такого отказа</w:t>
      </w:r>
      <w:r>
        <w:rPr>
          <w:lang w:val="ru-RU" w:eastAsia="ru-RU" w:bidi="ru-RU"/>
          <w:w w:val="100"/>
          <w:spacing w:val="0"/>
          <w:color w:val="000000"/>
          <w:position w:val="0"/>
        </w:rPr>
        <w:t>, а также реквизиты документов, подтверждающих этот факт. Указанный протокол в течение двух рабочих дней с даты его подписания направляется заказчиком данному победителю.</w:t>
      </w:r>
    </w:p>
    <w:p>
      <w:pPr>
        <w:pStyle w:val="Style5"/>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Вместе с тем, исходя из приведенной в протоколе об отказе от заключения контракта от 22.06.2022 №ПОК20_1 формулировки, не представляется возможным определить точную причину отклонения заявки ООО «СКС Групп», поскольку использованная Заказчиком формулировка не конкретизирует причину несоответствия участника закупки требования ст.31 Закона о контрактной системе.</w:t>
      </w:r>
    </w:p>
    <w:p>
      <w:pPr>
        <w:pStyle w:val="Style5"/>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Между тем, в целях обеспечения гласности и прозрачности осуществления закупок, предотвращения коррупции и других злоупотреблений в указанной сфере, представляется возможным сделать вывод о том, что обязательному доведению до сведения участников закупки подлежит вся информация, касающаяся хода и результатов рассмотрения их заявок на участие в названной закупке, поскольку упомянутые результаты напрямую затрагивают права и законные интересы таких участников. Кроме того, такая информация должна детально раскрывать причины отклонения поданной заявки с указанием на то, какие именно положениям закупочной документации не соответствует такая заявка и в какой именно ее части, с тем, чтобы исключить возможность заказчиков в последующем субъективно трактовать причины такого отклонения и предоставить участникам закупки возможность в случае несогласия с таким решением заказчика оспорить в установленном законом порядке.</w:t>
      </w:r>
    </w:p>
    <w:p>
      <w:pPr>
        <w:pStyle w:val="Style5"/>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Названный правовой подход наиболее полно отвечает законодательно закрепленному принципу равенства участников гражданских правоотношений (ч. 1 ст. 1 Гражданского кодекса Российской Федерации (далее — ГК РФ), и данного подхода последовательно придерживаются арбитражные суды Московского округа, в частности по делам №№ А40-137048/12, А40-5013/14, А40-43124/14, А40-219113/14.</w:t>
      </w:r>
    </w:p>
    <w:p>
      <w:pPr>
        <w:pStyle w:val="Style5"/>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В свою очередь отказ от заключения контракта без обоснования конкретных причин такого отклонения изначально нельзя признать правомерным ввиду несоответствия таких действий целям обеспечения гласности и прозрачности осуществления закупок (ч. 1 ст. 1 Закона о контрактной системе), а также законодательно установленному запрету на злоупотребление правом (ч. 2 ст. 10 ГК РФ) и принципу недопустимости извлечения преимущества из своего незаконного или недобросовестного поведения (ч. 4 ст. 1 ГК РФ).</w:t>
      </w:r>
    </w:p>
    <w:p>
      <w:pPr>
        <w:pStyle w:val="Style5"/>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На заседании Комиссии Управления представитель Заказчика согласился с вышеуказанным доводом жалобы, при этом пояснил, что при проверке данных с единого государственного реестра юридических лиц был ошибочно введен некорректный ИНН Заявителя, таким образом, протокол отказа от заключения контракта сформирован вследствие технической ошибки.</w:t>
      </w:r>
    </w:p>
    <w:p>
      <w:pPr>
        <w:pStyle w:val="Style5"/>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Таким образом, Комиссия Управления приходит к выводу об обоснованности данного довода жалобы и нарушении Заказчиком положений ч.11 ст.31 Закона о контрактной системе, что содержит признаки состава административного правонарушения, ответственность за которое предусмотрена ч.2.1 ст.7.30 Кодекса Российской Федерации об административных правонарушениях.</w:t>
      </w:r>
    </w:p>
    <w:p>
      <w:pPr>
        <w:pStyle w:val="Style5"/>
        <w:widowControl w:val="0"/>
        <w:keepNext w:val="0"/>
        <w:keepLines w:val="0"/>
        <w:shd w:val="clear" w:color="auto" w:fill="auto"/>
        <w:bidi w:val="0"/>
        <w:jc w:val="both"/>
        <w:spacing w:before="0" w:after="349" w:line="322" w:lineRule="exact"/>
        <w:ind w:left="0" w:right="20" w:firstLine="700"/>
      </w:pPr>
      <w:r>
        <w:rPr>
          <w:lang w:val="ru-RU" w:eastAsia="ru-RU" w:bidi="ru-RU"/>
          <w:w w:val="100"/>
          <w:spacing w:val="0"/>
          <w:color w:val="000000"/>
          <w:position w:val="0"/>
        </w:rPr>
        <w:t>Исследовав представленные материалы, руководствуясь Административным регламентом и Законом о контрактной системе, Комиссия Управления</w:t>
      </w:r>
    </w:p>
    <w:p>
      <w:pPr>
        <w:pStyle w:val="Style13"/>
        <w:widowControl w:val="0"/>
        <w:keepNext/>
        <w:keepLines/>
        <w:shd w:val="clear" w:color="auto" w:fill="auto"/>
        <w:bidi w:val="0"/>
        <w:spacing w:before="0" w:after="295" w:line="260" w:lineRule="exact"/>
        <w:ind w:left="20" w:right="0" w:firstLine="0"/>
      </w:pPr>
      <w:bookmarkStart w:id="1" w:name="bookmark1"/>
      <w:r>
        <w:rPr>
          <w:lang w:val="ru-RU" w:eastAsia="ru-RU" w:bidi="ru-RU"/>
          <w:w w:val="100"/>
          <w:spacing w:val="0"/>
          <w:color w:val="000000"/>
          <w:position w:val="0"/>
        </w:rPr>
        <w:t>Р Е Ш И Л А:</w:t>
      </w:r>
      <w:bookmarkEnd w:id="1"/>
    </w:p>
    <w:p>
      <w:pPr>
        <w:pStyle w:val="Style5"/>
        <w:numPr>
          <w:ilvl w:val="0"/>
          <w:numId w:val="5"/>
        </w:numPr>
        <w:widowControl w:val="0"/>
        <w:keepNext w:val="0"/>
        <w:keepLines w:val="0"/>
        <w:shd w:val="clear" w:color="auto" w:fill="auto"/>
        <w:bidi w:val="0"/>
        <w:jc w:val="both"/>
        <w:spacing w:before="0" w:after="0" w:line="331" w:lineRule="exact"/>
        <w:ind w:left="0" w:right="20" w:firstLine="700"/>
      </w:pPr>
      <w:r>
        <w:rPr>
          <w:lang w:val="ru-RU" w:eastAsia="ru-RU" w:bidi="ru-RU"/>
          <w:w w:val="100"/>
          <w:spacing w:val="0"/>
          <w:color w:val="000000"/>
          <w:position w:val="0"/>
        </w:rPr>
        <w:t xml:space="preserve"> Признать жалобу ООО «СКС Групп» на действия ГБУ «Автомобильные дороги ЗАО» обоснованной.</w:t>
      </w:r>
    </w:p>
    <w:p>
      <w:pPr>
        <w:pStyle w:val="Style5"/>
        <w:numPr>
          <w:ilvl w:val="0"/>
          <w:numId w:val="5"/>
        </w:numPr>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 xml:space="preserve"> Признать в действиях Заказчика нарушение ч.11 ст.31 Закона о контрактной системе.</w:t>
      </w:r>
    </w:p>
    <w:p>
      <w:pPr>
        <w:pStyle w:val="Style5"/>
        <w:numPr>
          <w:ilvl w:val="0"/>
          <w:numId w:val="5"/>
        </w:numPr>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 xml:space="preserve"> Выдать Заказчику обязательное для исполнения предписание об устранении нарушений законодательства о контрактной системе.</w:t>
      </w:r>
    </w:p>
    <w:p>
      <w:pPr>
        <w:pStyle w:val="Style5"/>
        <w:numPr>
          <w:ilvl w:val="0"/>
          <w:numId w:val="5"/>
        </w:numPr>
        <w:widowControl w:val="0"/>
        <w:keepNext w:val="0"/>
        <w:keepLines w:val="0"/>
        <w:shd w:val="clear" w:color="auto" w:fill="auto"/>
        <w:bidi w:val="0"/>
        <w:jc w:val="both"/>
        <w:spacing w:before="0" w:after="296" w:line="317" w:lineRule="exact"/>
        <w:ind w:left="0" w:right="20" w:firstLine="700"/>
      </w:pPr>
      <w:r>
        <w:rPr>
          <w:lang w:val="ru-RU" w:eastAsia="ru-RU" w:bidi="ru-RU"/>
          <w:w w:val="100"/>
          <w:spacing w:val="0"/>
          <w:color w:val="000000"/>
          <w:position w:val="0"/>
        </w:rPr>
        <w:t xml:space="preserve">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5"/>
        <w:widowControl w:val="0"/>
        <w:keepNext w:val="0"/>
        <w:keepLines w:val="0"/>
        <w:shd w:val="clear" w:color="auto" w:fill="auto"/>
        <w:bidi w:val="0"/>
        <w:jc w:val="both"/>
        <w:spacing w:before="0" w:after="43" w:line="322" w:lineRule="exact"/>
        <w:ind w:left="0" w:right="20" w:firstLine="700"/>
      </w:pPr>
      <w:r>
        <w:rPr>
          <w:lang w:val="ru-RU" w:eastAsia="ru-RU" w:bidi="ru-RU"/>
          <w:w w:val="100"/>
          <w:spacing w:val="0"/>
          <w:color w:val="000000"/>
          <w:position w:val="0"/>
        </w:rPr>
        <w:t>Решение может быть обжаловано в суде (Арбитражном суде г. Москвы) в порядке, установленном гл. 24 АПК РФ, в течение 3(трех) месяцев с даты его принятия.</w:t>
      </w:r>
    </w:p>
    <w:p>
      <w:pPr>
        <w:pStyle w:val="Style5"/>
        <w:tabs>
          <w:tab w:leader="none" w:pos="8990" w:val="center"/>
          <w:tab w:leader="none" w:pos="10099"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Председательствующий</w:t>
        <w:tab/>
        <w:t>К.А.</w:t>
        <w:tab/>
        <w:t>Сомов</w:t>
      </w:r>
    </w:p>
    <w:p>
      <w:pPr>
        <w:pStyle w:val="Style5"/>
        <w:tabs>
          <w:tab w:leader="none" w:pos="8434" w:val="lef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Члены Комиссии</w:t>
        <w:tab/>
        <w:t>А.З. Касимова</w:t>
      </w:r>
    </w:p>
    <w:p>
      <w:pPr>
        <w:pStyle w:val="Style5"/>
        <w:widowControl w:val="0"/>
        <w:keepNext w:val="0"/>
        <w:keepLines w:val="0"/>
        <w:shd w:val="clear" w:color="auto" w:fill="auto"/>
        <w:bidi w:val="0"/>
        <w:spacing w:before="0" w:after="0" w:line="643" w:lineRule="exact"/>
        <w:ind w:left="0" w:right="20" w:firstLine="0"/>
      </w:pPr>
      <w:r>
        <w:rPr>
          <w:lang w:val="ru-RU" w:eastAsia="ru-RU" w:bidi="ru-RU"/>
          <w:w w:val="100"/>
          <w:spacing w:val="0"/>
          <w:color w:val="000000"/>
          <w:position w:val="0"/>
        </w:rPr>
        <w:t>Е.О. Сгибнев</w:t>
      </w:r>
    </w:p>
    <w:p>
      <w:pPr>
        <w:pStyle w:val="Style16"/>
        <w:widowControl w:val="0"/>
        <w:keepNext w:val="0"/>
        <w:keepLines w:val="0"/>
        <w:shd w:val="clear" w:color="auto" w:fill="auto"/>
        <w:bidi w:val="0"/>
        <w:spacing w:before="0" w:after="0" w:line="180" w:lineRule="exact"/>
        <w:ind w:left="0" w:right="0" w:firstLine="0"/>
      </w:pPr>
      <w:r>
        <w:rPr>
          <w:lang w:val="ru-RU" w:eastAsia="ru-RU" w:bidi="ru-RU"/>
          <w:w w:val="100"/>
          <w:spacing w:val="0"/>
          <w:color w:val="000000"/>
          <w:position w:val="0"/>
        </w:rPr>
        <w:t>Исп. Касимова А.З.</w:t>
      </w:r>
    </w:p>
    <w:sectPr>
      <w:headerReference w:type="default" r:id="rId9"/>
      <w:footerReference w:type="default" r:id="rId10"/>
      <w:footerReference w:type="first" r:id="rId11"/>
      <w:titlePg/>
      <w:footnotePr>
        <w:pos w:val="pageBottom"/>
        <w:numFmt w:val="decimal"/>
        <w:numRestart w:val="continuous"/>
      </w:footnotePr>
      <w:type w:val="continuous"/>
      <w:pgSz w:w="11909" w:h="16838"/>
      <w:pgMar w:top="1379" w:left="847" w:right="823" w:bottom="736"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3.9pt;margin-top:807.35pt;width:57.1pt;height:7.9pt;z-index:-188744063;mso-wrap-style:none;mso-wrap-distance-left:5.pt;mso-wrap-distance-right:5.pt;mso-position-horizontal-relative:page;mso-position-vertical-relative:page" wrapcoords="0 0" filled="f" stroked="f">
          <v:textbox style="mso-fit-shape-to-text:t" inset="0,0,0,0">
            <w:txbxContent>
              <w:p>
                <w:pPr>
                  <w:pStyle w:val="Style7"/>
                  <w:widowControl w:val="0"/>
                  <w:keepNext w:val="0"/>
                  <w:keepLines w:val="0"/>
                  <w:shd w:val="clear" w:color="auto" w:fill="auto"/>
                  <w:bidi w:val="0"/>
                  <w:jc w:val="left"/>
                  <w:spacing w:before="0" w:after="0" w:line="240" w:lineRule="auto"/>
                  <w:ind w:left="0" w:right="0" w:firstLine="0"/>
                </w:pPr>
                <w:r>
                  <w:rPr>
                    <w:rStyle w:val="CharStyle9"/>
                    <w:b/>
                    <w:bCs/>
                  </w:rPr>
                  <w:t>2022-37187</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0" type="#_x0000_t202" style="position:absolute;margin-left:44.5pt;margin-top:811.55pt;width:57.1pt;height:7.9pt;z-index:-188744062;mso-wrap-style:none;mso-wrap-distance-left:5.pt;mso-wrap-distance-right:5.pt;mso-position-horizontal-relative:page;mso-position-vertical-relative:page" wrapcoords="0 0" filled="f" stroked="f">
          <v:textbox style="mso-fit-shape-to-text:t" inset="0,0,0,0">
            <w:txbxContent>
              <w:p>
                <w:pPr>
                  <w:pStyle w:val="Style7"/>
                  <w:widowControl w:val="0"/>
                  <w:keepNext w:val="0"/>
                  <w:keepLines w:val="0"/>
                  <w:shd w:val="clear" w:color="auto" w:fill="auto"/>
                  <w:bidi w:val="0"/>
                  <w:jc w:val="left"/>
                  <w:spacing w:before="0" w:after="0" w:line="240" w:lineRule="auto"/>
                  <w:ind w:left="0" w:right="0" w:firstLine="0"/>
                </w:pPr>
                <w:r>
                  <w:rPr>
                    <w:rStyle w:val="CharStyle9"/>
                    <w:b/>
                    <w:bCs/>
                  </w:rPr>
                  <w:t>2022-37187</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8" type="#_x0000_t202" style="position:absolute;margin-left:295.9pt;margin-top:45.pt;width:5.3pt;height:7.9pt;z-index:-188744064;mso-wrap-style:none;mso-wrap-distance-left:5.pt;mso-wrap-distance-right:5.pt;mso-position-horizontal-relative:page;mso-position-vertical-relative:page" wrapcoords="0 0" filled="f" stroked="f">
          <v:textbox style="mso-fit-shape-to-text:t" inset="0,0,0,0">
            <w:txbxContent>
              <w:p>
                <w:pPr>
                  <w:pStyle w:val="Style7"/>
                  <w:widowControl w:val="0"/>
                  <w:keepNext w:val="0"/>
                  <w:keepLines w:val="0"/>
                  <w:shd w:val="clear" w:color="auto" w:fill="auto"/>
                  <w:bidi w:val="0"/>
                  <w:jc w:val="left"/>
                  <w:spacing w:before="0" w:after="0" w:line="240" w:lineRule="auto"/>
                  <w:ind w:left="0" w:right="0" w:firstLine="0"/>
                </w:pPr>
                <w:fldSimple w:instr=" PAGE \* MERGEFORMAT ">
                  <w:r>
                    <w:rPr>
                      <w:rStyle w:val="CharStyle9"/>
                      <w:b/>
                      <w:bCs/>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2"/>
      <w:numFmt w:val="decimal"/>
      <w:lvlText w:val="29.06.%1"/>
      <w:rPr>
        <w:lang w:val="ru-RU" w:eastAsia="ru-RU" w:bidi="ru-RU"/>
        <w:b/>
        <w:bCs/>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22"/>
      <w:numFmt w:val="decimal"/>
      <w:lvlText w:val="22.06.%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Колонтитул_"/>
    <w:basedOn w:val="DefaultParagraphFont"/>
    <w:link w:val="Style7"/>
    <w:rPr>
      <w:b/>
      <w:bCs/>
      <w:i w:val="0"/>
      <w:iCs w:val="0"/>
      <w:u w:val="none"/>
      <w:strike w:val="0"/>
      <w:smallCaps w:val="0"/>
      <w:sz w:val="22"/>
      <w:szCs w:val="22"/>
      <w:rFonts w:ascii="Times New Roman" w:eastAsia="Times New Roman" w:hAnsi="Times New Roman" w:cs="Times New Roman"/>
    </w:rPr>
  </w:style>
  <w:style w:type="character" w:customStyle="1" w:styleId="CharStyle9">
    <w:name w:val="Колонтитул"/>
    <w:basedOn w:val="CharStyle8"/>
    <w:rPr>
      <w:lang w:val="ru-RU" w:eastAsia="ru-RU" w:bidi="ru-RU"/>
      <w:w w:val="100"/>
      <w:spacing w:val="0"/>
      <w:color w:val="000000"/>
      <w:position w:val="0"/>
    </w:rPr>
  </w:style>
  <w:style w:type="character" w:customStyle="1" w:styleId="CharStyle11">
    <w:name w:val="Основной текст (2)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w:basedOn w:val="CharStyle6"/>
    <w:rPr>
      <w:lang w:val="ru-RU" w:eastAsia="ru-RU" w:bidi="ru-RU"/>
      <w:u w:val="single"/>
      <w:w w:val="100"/>
      <w:spacing w:val="0"/>
      <w:color w:val="000000"/>
      <w:position w:val="0"/>
    </w:rPr>
  </w:style>
  <w:style w:type="character" w:customStyle="1" w:styleId="CharStyle14">
    <w:name w:val="Заголовок №1_"/>
    <w:basedOn w:val="DefaultParagraphFont"/>
    <w:link w:val="Style13"/>
    <w:rPr>
      <w:b/>
      <w:bCs/>
      <w:i w:val="0"/>
      <w:iCs w:val="0"/>
      <w:u w:val="none"/>
      <w:strike w:val="0"/>
      <w:smallCaps w:val="0"/>
      <w:sz w:val="26"/>
      <w:szCs w:val="26"/>
      <w:rFonts w:ascii="Times New Roman" w:eastAsia="Times New Roman" w:hAnsi="Times New Roman" w:cs="Times New Roman"/>
    </w:rPr>
  </w:style>
  <w:style w:type="character" w:customStyle="1" w:styleId="CharStyle15">
    <w:name w:val="Основной текст + Курсив"/>
    <w:basedOn w:val="CharStyle6"/>
    <w:rPr>
      <w:lang w:val="ru-RU" w:eastAsia="ru-RU" w:bidi="ru-RU"/>
      <w:i/>
      <w:iCs/>
      <w:w w:val="100"/>
      <w:spacing w:val="0"/>
      <w:color w:val="000000"/>
      <w:position w:val="0"/>
    </w:rPr>
  </w:style>
  <w:style w:type="character" w:customStyle="1" w:styleId="CharStyle17">
    <w:name w:val="Основной текст (3)_"/>
    <w:basedOn w:val="DefaultParagraphFont"/>
    <w:link w:val="Style16"/>
    <w:rPr>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jc w:val="right"/>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Колонтитул"/>
    <w:basedOn w:val="Normal"/>
    <w:link w:val="CharStyle8"/>
    <w:pPr>
      <w:widowControl w:val="0"/>
      <w:shd w:val="clear" w:color="auto" w:fill="FFFFFF"/>
      <w:spacing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spacing w:before="42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3">
    <w:name w:val="Заголовок №1"/>
    <w:basedOn w:val="Normal"/>
    <w:link w:val="CharStyle14"/>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6">
    <w:name w:val="Основной текст (3)"/>
    <w:basedOn w:val="Normal"/>
    <w:link w:val="CharStyle17"/>
    <w:pPr>
      <w:widowControl w:val="0"/>
      <w:shd w:val="clear" w:color="auto" w:fill="FFFFFF"/>
      <w:jc w:val="both"/>
      <w:spacing w:line="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footer" Target="footer2.xml"/></Relationships>
</file>