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80" w:wrap="around" w:vAnchor="text" w:hAnchor="margin" w:x="1622" w:y="3688"/>
        <w:widowControl w:val="0"/>
        <w:keepNext w:val="0"/>
        <w:keepLines w:val="0"/>
        <w:shd w:val="clear" w:color="auto" w:fill="auto"/>
        <w:bidi w:val="0"/>
        <w:jc w:val="left"/>
        <w:spacing w:before="0" w:after="0" w:line="180" w:lineRule="exact"/>
        <w:ind w:left="100" w:right="0" w:firstLine="0"/>
      </w:pPr>
      <w:r>
        <w:rPr>
          <w:rStyle w:val="CharStyle5"/>
        </w:rPr>
        <w:t>№</w:t>
      </w:r>
    </w:p>
    <w:p>
      <w:pPr>
        <w:pStyle w:val="Style6"/>
        <w:framePr w:h="160" w:wrap="around" w:vAnchor="text" w:hAnchor="margin" w:x="-249" w:y="4150"/>
        <w:widowControl w:val="0"/>
        <w:keepNext w:val="0"/>
        <w:keepLines w:val="0"/>
        <w:shd w:val="clear" w:color="auto" w:fill="auto"/>
        <w:bidi w:val="0"/>
        <w:jc w:val="left"/>
        <w:spacing w:before="0" w:after="0" w:line="160" w:lineRule="exact"/>
        <w:ind w:left="0" w:right="0" w:firstLine="0"/>
      </w:pPr>
      <w:r>
        <w:rPr>
          <w:rStyle w:val="CharStyle8"/>
          <w:spacing w:val="0"/>
        </w:rPr>
        <w:t>На №</w:t>
      </w:r>
    </w:p>
    <w:p>
      <w:pPr>
        <w:pStyle w:val="Style9"/>
        <w:framePr w:h="232" w:wrap="around" w:vAnchor="text" w:hAnchor="margin" w:x="-181" w:y="4986"/>
        <w:widowControl w:val="0"/>
        <w:keepNext w:val="0"/>
        <w:keepLines w:val="0"/>
        <w:shd w:val="clear" w:color="auto" w:fill="auto"/>
        <w:bidi w:val="0"/>
        <w:jc w:val="left"/>
        <w:spacing w:before="0" w:after="0" w:line="230" w:lineRule="exact"/>
        <w:ind w:left="0" w:right="0" w:firstLine="0"/>
      </w:pPr>
      <w:r>
        <w:rPr>
          <w:rStyle w:val="CharStyle10"/>
          <w:spacing w:val="0"/>
        </w:rPr>
        <w:t>решение</w:t>
      </w:r>
    </w:p>
    <w:p>
      <w:pPr>
        <w:widowControl w:val="0"/>
        <w:rPr>
          <w:sz w:val="2"/>
          <w:szCs w:val="2"/>
        </w:rPr>
      </w:pPr>
    </w:p>
    <w:p>
      <w:pPr>
        <w:framePr w:h="941"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7pt;">
            <v:imagedata r:id="rId5" r:href="rId6"/>
          </v:shape>
        </w:pict>
      </w:r>
    </w:p>
    <w:p>
      <w:pPr>
        <w:widowControl w:val="0"/>
        <w:rPr>
          <w:sz w:val="2"/>
          <w:szCs w:val="2"/>
        </w:rPr>
      </w:pPr>
    </w:p>
    <w:p>
      <w:pPr>
        <w:pStyle w:val="Style14"/>
        <w:widowControl w:val="0"/>
        <w:keepNext w:val="0"/>
        <w:keepLines w:val="0"/>
        <w:shd w:val="clear" w:color="auto" w:fill="auto"/>
        <w:bidi w:val="0"/>
        <w:spacing w:before="0" w:after="132"/>
        <w:ind w:left="0" w:right="0" w:firstLine="0"/>
      </w:pPr>
      <w:r>
        <w:rPr>
          <w:rStyle w:val="CharStyle16"/>
          <w:b/>
          <w:bCs/>
        </w:rPr>
        <w:t>ФЕДЕРАЛЬНАЯ АНТИМОНОПОЛЬНАЯ СЛУЖБА</w:t>
      </w:r>
    </w:p>
    <w:p>
      <w:pPr>
        <w:pStyle w:val="Style14"/>
        <w:widowControl w:val="0"/>
        <w:keepNext w:val="0"/>
        <w:keepLines w:val="0"/>
        <w:shd w:val="clear" w:color="auto" w:fill="auto"/>
        <w:bidi w:val="0"/>
        <w:spacing w:before="0" w:after="105" w:line="226" w:lineRule="exact"/>
        <w:ind w:left="0" w:right="0" w:firstLine="0"/>
      </w:pPr>
      <w:r>
        <w:rPr>
          <w:rStyle w:val="CharStyle16"/>
          <w:b/>
          <w:bCs/>
        </w:rPr>
        <w:t>УПРАВЛЕНИЕ Федеральной антимонопольной службы по Челябинской области</w:t>
      </w:r>
    </w:p>
    <w:p>
      <w:pPr>
        <w:pStyle w:val="Style6"/>
        <w:widowControl w:val="0"/>
        <w:keepNext w:val="0"/>
        <w:keepLines w:val="0"/>
        <w:shd w:val="clear" w:color="auto" w:fill="auto"/>
        <w:bidi w:val="0"/>
        <w:jc w:val="left"/>
        <w:spacing w:before="0" w:after="244"/>
        <w:ind w:left="20" w:right="60" w:firstLine="320"/>
      </w:pPr>
      <w:r>
        <w:rPr>
          <w:rStyle w:val="CharStyle18"/>
        </w:rPr>
        <w:t xml:space="preserve">пр. Ленина, 59, г.Челябинск, 454091 тел. (351) 263-88-71, факс (351) 263-18-39 </w:t>
      </w:r>
      <w:r>
        <w:rPr>
          <w:rStyle w:val="CharStyle19"/>
        </w:rPr>
        <w:t xml:space="preserve">e-mail: </w:t>
      </w:r>
      <w:r>
        <w:fldChar w:fldCharType="begin"/>
      </w:r>
      <w:r>
        <w:rPr>
          <w:rStyle w:val="CharStyle19"/>
        </w:rPr>
        <w:instrText> HYPERLINK "mailto:to74@fas.gov.ru" </w:instrText>
      </w:r>
      <w:r>
        <w:fldChar w:fldCharType="separate"/>
      </w:r>
      <w:r>
        <w:rPr>
          <w:rStyle w:val="Hyperlink"/>
        </w:rPr>
        <w:t>to74@fas.gov.ru</w:t>
      </w:r>
      <w:r>
        <w:fldChar w:fldCharType="end"/>
      </w:r>
    </w:p>
    <w:p>
      <w:pPr>
        <w:pStyle w:val="Style20"/>
        <w:widowControl w:val="0"/>
        <w:keepNext w:val="0"/>
        <w:keepLines w:val="0"/>
        <w:shd w:val="clear" w:color="auto" w:fill="auto"/>
        <w:bidi w:val="0"/>
        <w:jc w:val="left"/>
        <w:spacing w:before="0" w:after="0" w:line="90" w:lineRule="exact"/>
        <w:ind w:left="20" w:right="0" w:firstLine="0"/>
      </w:pPr>
      <w:r>
        <w:rPr>
          <w:rStyle w:val="CharStyle22"/>
        </w:rPr>
        <w:t>штамп</w:t>
      </w:r>
    </w:p>
    <w:p>
      <w:pPr>
        <w:pStyle w:val="Style23"/>
        <w:widowControl w:val="0"/>
        <w:keepNext w:val="0"/>
        <w:keepLines w:val="0"/>
        <w:shd w:val="clear" w:color="auto" w:fill="auto"/>
        <w:bidi w:val="0"/>
        <w:spacing w:before="0" w:after="0" w:line="100" w:lineRule="exact"/>
        <w:ind w:left="0" w:right="0" w:firstLine="0"/>
      </w:pPr>
      <w:r>
        <w:fldChar w:fldCharType="begin"/>
      </w:r>
      <w:r>
        <w:rPr>
          <w:rStyle w:val="CharStyle25"/>
        </w:rPr>
        <w:instrText> HYPERLINK "file://f207ca94-a13c-4ba0-b72d-f018c9eed8f1/" </w:instrText>
      </w:r>
      <w:r>
        <w:fldChar w:fldCharType="separate"/>
      </w:r>
      <w:r>
        <w:rPr>
          <w:rStyle w:val="Hyperlink"/>
        </w:rPr>
        <w:t>регистрации</w:t>
      </w:r>
      <w:r>
        <w:fldChar w:fldCharType="end"/>
      </w:r>
    </w:p>
    <w:p>
      <w:pPr>
        <w:pStyle w:val="Style26"/>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ООО «Зеро-мед»</w:t>
      </w:r>
    </w:p>
    <w:p>
      <w:pPr>
        <w:pStyle w:val="Style26"/>
        <w:widowControl w:val="0"/>
        <w:keepNext w:val="0"/>
        <w:keepLines w:val="0"/>
        <w:shd w:val="clear" w:color="auto" w:fill="auto"/>
        <w:bidi w:val="0"/>
        <w:jc w:val="left"/>
        <w:spacing w:before="0" w:after="236" w:line="322" w:lineRule="exact"/>
        <w:ind w:left="20" w:right="0" w:firstLine="0"/>
      </w:pPr>
      <w:r>
        <w:rPr>
          <w:lang w:val="ru-RU" w:eastAsia="ru-RU" w:bidi="ru-RU"/>
          <w:w w:val="100"/>
          <w:spacing w:val="0"/>
          <w:color w:val="000000"/>
          <w:position w:val="0"/>
        </w:rPr>
        <w:t xml:space="preserve">454046 г. Челябинск ул.4-я Электровозная, д. 66 </w:t>
      </w:r>
      <w:r>
        <w:fldChar w:fldCharType="begin"/>
      </w:r>
      <w:r>
        <w:rPr>
          <w:rStyle w:val="CharStyle28"/>
        </w:rPr>
        <w:instrText> HYPERLINK "mailto:zeromed74@mail.ru" </w:instrText>
      </w:r>
      <w:r>
        <w:fldChar w:fldCharType="separate"/>
      </w:r>
      <w:r>
        <w:rPr>
          <w:rStyle w:val="Hyperlink"/>
        </w:rPr>
        <w:t>zeromed74@mail .ru</w:t>
      </w:r>
      <w:r>
        <w:fldChar w:fldCharType="end"/>
      </w:r>
    </w:p>
    <w:p>
      <w:pPr>
        <w:pStyle w:val="Style26"/>
        <w:widowControl w:val="0"/>
        <w:keepNext w:val="0"/>
        <w:keepLines w:val="0"/>
        <w:shd w:val="clear" w:color="auto" w:fill="auto"/>
        <w:bidi w:val="0"/>
        <w:jc w:val="left"/>
        <w:spacing w:before="0" w:after="0" w:line="326" w:lineRule="exact"/>
        <w:ind w:left="20" w:right="0" w:firstLine="0"/>
      </w:pPr>
      <w:r>
        <w:rPr>
          <w:lang w:val="ru-RU" w:eastAsia="ru-RU" w:bidi="ru-RU"/>
          <w:w w:val="100"/>
          <w:spacing w:val="0"/>
          <w:color w:val="000000"/>
          <w:position w:val="0"/>
        </w:rPr>
        <w:t>ГКУ «Центр организации закупок Челябинской области»</w:t>
      </w:r>
    </w:p>
    <w:p>
      <w:pPr>
        <w:pStyle w:val="Style26"/>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454084, г. Челябинск, ул. Калинина, д. 21</w:t>
      </w:r>
    </w:p>
    <w:p>
      <w:pPr>
        <w:pStyle w:val="Style26"/>
        <w:widowControl w:val="0"/>
        <w:keepNext w:val="0"/>
        <w:keepLines w:val="0"/>
        <w:shd w:val="clear" w:color="auto" w:fill="auto"/>
        <w:bidi w:val="0"/>
        <w:jc w:val="left"/>
        <w:spacing w:before="0" w:after="240" w:line="322" w:lineRule="exact"/>
        <w:ind w:left="20" w:right="0" w:firstLine="0"/>
      </w:pPr>
      <w:r>
        <w:fldChar w:fldCharType="begin"/>
      </w:r>
      <w:r>
        <w:rPr>
          <w:rStyle w:val="CharStyle28"/>
        </w:rPr>
        <w:instrText> HYPERLINK "mailto:zakup@zakup74.ru" </w:instrText>
      </w:r>
      <w:r>
        <w:fldChar w:fldCharType="separate"/>
      </w:r>
      <w:r>
        <w:rPr>
          <w:rStyle w:val="Hyperlink"/>
        </w:rPr>
        <w:t>zakup@zakup74.ru</w:t>
      </w:r>
      <w:r>
        <w:fldChar w:fldCharType="end"/>
      </w:r>
    </w:p>
    <w:p>
      <w:pPr>
        <w:pStyle w:val="Style26"/>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Государственное бюджетное учреждение здравоохранения «Челябинская областная клиническая больница»</w:t>
      </w:r>
    </w:p>
    <w:p>
      <w:pPr>
        <w:pStyle w:val="Style26"/>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454076, г. Челябинск, ул. Воровского, 70</w:t>
      </w:r>
    </w:p>
    <w:p>
      <w:pPr>
        <w:pStyle w:val="Style26"/>
        <w:widowControl w:val="0"/>
        <w:keepNext w:val="0"/>
        <w:keepLines w:val="0"/>
        <w:shd w:val="clear" w:color="auto" w:fill="auto"/>
        <w:bidi w:val="0"/>
        <w:jc w:val="left"/>
        <w:spacing w:before="0" w:after="0" w:line="322" w:lineRule="exact"/>
        <w:ind w:left="20" w:right="0" w:firstLine="0"/>
      </w:pPr>
      <w:r>
        <w:fldChar w:fldCharType="begin"/>
      </w:r>
      <w:r>
        <w:rPr>
          <w:rStyle w:val="CharStyle28"/>
        </w:rPr>
        <w:instrText> HYPERLINK "mailto:chelokb@mail.ru" </w:instrText>
      </w:r>
      <w:r>
        <w:fldChar w:fldCharType="separate"/>
      </w:r>
      <w:r>
        <w:rPr>
          <w:rStyle w:val="Hyperlink"/>
        </w:rPr>
        <w:t>chelokb@mail.ru</w:t>
      </w:r>
      <w:r>
        <w:fldChar w:fldCharType="end"/>
      </w:r>
      <w:r>
        <w:rPr>
          <w:lang w:val="en-US" w:eastAsia="en-US" w:bidi="en-US"/>
          <w:w w:val="100"/>
          <w:spacing w:val="0"/>
          <w:color w:val="000000"/>
          <w:position w:val="0"/>
        </w:rPr>
        <w:t>:</w:t>
      </w:r>
    </w:p>
    <w:p>
      <w:pPr>
        <w:pStyle w:val="Style26"/>
        <w:widowControl w:val="0"/>
        <w:keepNext w:val="0"/>
        <w:keepLines w:val="0"/>
        <w:shd w:val="clear" w:color="auto" w:fill="auto"/>
        <w:bidi w:val="0"/>
        <w:jc w:val="left"/>
        <w:spacing w:before="0" w:after="0" w:line="322" w:lineRule="exact"/>
        <w:ind w:left="20" w:right="0" w:firstLine="0"/>
        <w:sectPr>
          <w:headerReference w:type="default" r:id="rId7"/>
          <w:footerReference w:type="default" r:id="rId8"/>
          <w:footerReference w:type="first" r:id="rId9"/>
          <w:titlePg/>
          <w:footnotePr>
            <w:pos w:val="pageBottom"/>
            <w:numFmt w:val="decimal"/>
            <w:numRestart w:val="continuous"/>
          </w:footnotePr>
          <w:type w:val="continuous"/>
          <w:pgSz w:w="16838" w:h="23810"/>
          <w:pgMar w:top="3400" w:left="4022" w:right="3000" w:bottom="3866" w:header="0" w:footer="3" w:gutter="0"/>
          <w:rtlGutter w:val="0"/>
          <w:cols w:num="2" w:space="720" w:equalWidth="0">
            <w:col w:w="3538" w:space="1469"/>
            <w:col w:w="4810"/>
          </w:cols>
          <w:noEndnote/>
          <w:docGrid w:linePitch="360"/>
        </w:sectPr>
      </w:pPr>
      <w:r>
        <w:fldChar w:fldCharType="begin"/>
      </w:r>
      <w:r>
        <w:rPr>
          <w:rStyle w:val="CharStyle28"/>
        </w:rPr>
        <w:instrText> HYPERLINK "mailto:okb_dogovor@mail.ru" </w:instrText>
      </w:r>
      <w:r>
        <w:fldChar w:fldCharType="separate"/>
      </w:r>
      <w:r>
        <w:rPr>
          <w:rStyle w:val="Hyperlink"/>
        </w:rPr>
        <w:t>okb_dogovor@mail.ru</w:t>
      </w:r>
      <w:r>
        <w:fldChar w:fldCharType="end"/>
      </w:r>
    </w:p>
    <w:p>
      <w:pPr>
        <w:widowControl w:val="0"/>
        <w:spacing w:before="36" w:after="36"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6"/>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АО «Тэк-Торг»</w:t>
      </w:r>
    </w:p>
    <w:p>
      <w:pPr>
        <w:pStyle w:val="Style26"/>
        <w:widowControl w:val="0"/>
        <w:keepNext w:val="0"/>
        <w:keepLines w:val="0"/>
        <w:shd w:val="clear" w:color="auto" w:fill="auto"/>
        <w:bidi w:val="0"/>
        <w:jc w:val="left"/>
        <w:spacing w:before="0" w:after="0" w:line="322" w:lineRule="exact"/>
        <w:ind w:left="20" w:right="260" w:firstLine="0"/>
        <w:sectPr>
          <w:type w:val="continuous"/>
          <w:pgSz w:w="16838" w:h="23810"/>
          <w:pgMar w:top="3430" w:left="9028" w:right="3153" w:bottom="3896" w:header="0" w:footer="3" w:gutter="0"/>
          <w:rtlGutter w:val="0"/>
          <w:cols w:space="720"/>
          <w:noEndnote/>
          <w:docGrid w:linePitch="360"/>
        </w:sectPr>
      </w:pPr>
      <w:r>
        <w:rPr>
          <w:lang w:val="ru-RU" w:eastAsia="ru-RU" w:bidi="ru-RU"/>
          <w:w w:val="100"/>
          <w:spacing w:val="0"/>
          <w:color w:val="000000"/>
          <w:position w:val="0"/>
        </w:rPr>
        <w:t xml:space="preserve">119034, город Москва, улица Тимура Фрунзе, 24, комн.31 эт.3 </w:t>
      </w:r>
      <w:r>
        <w:fldChar w:fldCharType="begin"/>
      </w:r>
      <w:r>
        <w:rPr>
          <w:rStyle w:val="CharStyle28"/>
        </w:rPr>
        <w:instrText> HYPERLINK "mailto:help@tektorg.ru" </w:instrText>
      </w:r>
      <w:r>
        <w:fldChar w:fldCharType="separate"/>
      </w:r>
      <w:r>
        <w:rPr>
          <w:rStyle w:val="Hyperlink"/>
        </w:rPr>
        <w:t>help@tektorg.ru</w:t>
      </w:r>
      <w:r>
        <w:fldChar w:fldCharType="end"/>
      </w:r>
    </w:p>
    <w:p>
      <w:pPr>
        <w:widowControl w:val="0"/>
        <w:spacing w:before="64" w:after="64"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9"/>
        <w:widowControl w:val="0"/>
        <w:keepNext w:val="0"/>
        <w:keepLines w:val="0"/>
        <w:shd w:val="clear" w:color="auto" w:fill="auto"/>
        <w:bidi w:val="0"/>
        <w:jc w:val="left"/>
        <w:spacing w:before="0" w:after="0" w:line="240" w:lineRule="exact"/>
        <w:ind w:left="0" w:right="0" w:firstLine="0"/>
        <w:sectPr>
          <w:type w:val="continuous"/>
          <w:pgSz w:w="16838" w:h="23810"/>
          <w:pgMar w:top="3430" w:left="6023" w:right="4828" w:bottom="3896" w:header="0" w:footer="3" w:gutter="0"/>
          <w:rtlGutter w:val="0"/>
          <w:cols w:space="720"/>
          <w:noEndnote/>
          <w:docGrid w:linePitch="360"/>
        </w:sectPr>
      </w:pPr>
      <w:r>
        <w:rPr>
          <w:lang w:val="ru-RU" w:eastAsia="ru-RU" w:bidi="ru-RU"/>
          <w:sz w:val="24"/>
          <w:szCs w:val="24"/>
          <w:w w:val="100"/>
          <w:spacing w:val="0"/>
          <w:color w:val="000000"/>
          <w:position w:val="0"/>
        </w:rPr>
        <w:t>РЕШЕНИЕ № 074/06/106-1610/2022 (327-ж/2022)</w:t>
      </w:r>
    </w:p>
    <w:p>
      <w:pPr>
        <w:widowControl w:val="0"/>
        <w:spacing w:before="60" w:after="60"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0" w:line="240" w:lineRule="exact"/>
        <w:ind w:left="0" w:right="0" w:firstLine="0"/>
        <w:sectPr>
          <w:type w:val="continuous"/>
          <w:pgSz w:w="16838" w:h="23810"/>
          <w:pgMar w:top="3430" w:left="10751" w:right="2596" w:bottom="3896" w:header="0" w:footer="3" w:gutter="0"/>
          <w:rtlGutter w:val="0"/>
          <w:cols w:space="720"/>
          <w:noEndnote/>
          <w:docGrid w:linePitch="360"/>
        </w:sectPr>
      </w:pPr>
      <w:r>
        <w:rPr>
          <w:lang w:val="ru-RU" w:eastAsia="ru-RU" w:bidi="ru-RU"/>
          <w:sz w:val="24"/>
          <w:szCs w:val="24"/>
          <w:w w:val="100"/>
          <w:spacing w:val="0"/>
          <w:color w:val="000000"/>
          <w:position w:val="0"/>
        </w:rPr>
        <w:t>г. Челябинск, пр. Ленина, 59</w:t>
      </w:r>
    </w:p>
    <w:p>
      <w:pPr>
        <w:widowControl w:val="0"/>
        <w:spacing w:line="8" w:lineRule="exact"/>
        <w:rPr>
          <w:sz w:val="2"/>
          <w:szCs w:val="2"/>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236" w:line="298" w:lineRule="exact"/>
        <w:ind w:left="0" w:right="4620" w:firstLine="0"/>
      </w:pPr>
      <w:r>
        <w:rPr>
          <w:lang w:val="ru-RU" w:eastAsia="ru-RU" w:bidi="ru-RU"/>
          <w:sz w:val="24"/>
          <w:szCs w:val="24"/>
          <w:w w:val="100"/>
          <w:spacing w:val="0"/>
          <w:color w:val="000000"/>
          <w:position w:val="0"/>
        </w:rPr>
        <w:t>Резолютивная часть решения оглашена 29.06.2022 В полном объеме решение изготовлено 04.07.2022</w:t>
      </w:r>
    </w:p>
    <w:p>
      <w:pPr>
        <w:pStyle w:val="Style9"/>
        <w:widowControl w:val="0"/>
        <w:keepNext w:val="0"/>
        <w:keepLines w:val="0"/>
        <w:shd w:val="clear" w:color="auto" w:fill="auto"/>
        <w:bidi w:val="0"/>
        <w:jc w:val="both"/>
        <w:spacing w:before="0" w:after="0" w:line="302" w:lineRule="exact"/>
        <w:ind w:left="0" w:right="0" w:firstLine="720"/>
        <w:sectPr>
          <w:type w:val="continuous"/>
          <w:pgSz w:w="16838" w:h="23810"/>
          <w:pgMar w:top="3430" w:left="3734" w:right="2918" w:bottom="3896" w:header="0" w:footer="3" w:gutter="0"/>
          <w:rtlGutter w:val="0"/>
          <w:cols w:space="720"/>
          <w:noEndnote/>
          <w:docGrid w:linePitch="360"/>
        </w:sectPr>
      </w:pPr>
      <w:r>
        <w:rPr>
          <w:lang w:val="ru-RU" w:eastAsia="ru-RU" w:bidi="ru-RU"/>
          <w:sz w:val="24"/>
          <w:szCs w:val="24"/>
          <w:w w:val="100"/>
          <w:spacing w:val="0"/>
          <w:color w:val="000000"/>
          <w:position w:val="0"/>
        </w:rPr>
        <w:t>Комиссия по контролю в сфере закупок для государственных и мун</w:t>
      </w:r>
      <w:r>
        <w:rPr>
          <w:rStyle w:val="CharStyle32"/>
        </w:rPr>
        <w:t>ици</w:t>
      </w:r>
      <w:r>
        <w:rPr>
          <w:lang w:val="ru-RU" w:eastAsia="ru-RU" w:bidi="ru-RU"/>
          <w:sz w:val="24"/>
          <w:szCs w:val="24"/>
          <w:w w:val="100"/>
          <w:spacing w:val="0"/>
          <w:color w:val="000000"/>
          <w:position w:val="0"/>
        </w:rPr>
        <w:t>пальных нужд Управления Федеральной антимонопольной службы по Челябинской области (далее - Комиссия), в составе:</w:t>
      </w:r>
    </w:p>
    <w:p>
      <w:pPr>
        <w:widowControl w:val="0"/>
        <w:spacing w:before="25" w:after="25"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548" w:line="302" w:lineRule="exact"/>
        <w:ind w:left="0" w:right="280" w:firstLine="0"/>
      </w:pPr>
      <w:r>
        <w:rPr>
          <w:lang w:val="ru-RU" w:eastAsia="ru-RU" w:bidi="ru-RU"/>
          <w:sz w:val="24"/>
          <w:szCs w:val="24"/>
          <w:w w:val="100"/>
          <w:spacing w:val="0"/>
          <w:color w:val="000000"/>
          <w:position w:val="0"/>
        </w:rPr>
        <w:t>Председателя Ливончик В.А. Комиссии:</w:t>
      </w:r>
    </w:p>
    <w:p>
      <w:pPr>
        <w:pStyle w:val="Style9"/>
        <w:tabs>
          <w:tab w:leader="none" w:pos="3192" w:val="right"/>
          <w:tab w:leader="none" w:pos="3730" w:val="right"/>
        </w:tabs>
        <w:widowControl w:val="0"/>
        <w:keepNext w:val="0"/>
        <w:keepLines w:val="0"/>
        <w:shd w:val="clear" w:color="auto" w:fill="auto"/>
        <w:bidi w:val="0"/>
        <w:jc w:val="both"/>
        <w:spacing w:before="0" w:after="0" w:line="293" w:lineRule="exact"/>
        <w:ind w:left="0" w:right="0" w:firstLine="0"/>
      </w:pPr>
      <w:r>
        <w:rPr>
          <w:lang w:val="ru-RU" w:eastAsia="ru-RU" w:bidi="ru-RU"/>
          <w:sz w:val="24"/>
          <w:szCs w:val="24"/>
          <w:w w:val="100"/>
          <w:spacing w:val="0"/>
          <w:color w:val="000000"/>
          <w:position w:val="0"/>
        </w:rPr>
        <w:t>Членов</w:t>
        <w:tab/>
        <w:t>Воронковой</w:t>
        <w:tab/>
        <w:t>Д.А.</w:t>
      </w:r>
    </w:p>
    <w:p>
      <w:pPr>
        <w:pStyle w:val="Style9"/>
        <w:widowControl w:val="0"/>
        <w:keepNext w:val="0"/>
        <w:keepLines w:val="0"/>
        <w:shd w:val="clear" w:color="auto" w:fill="auto"/>
        <w:bidi w:val="0"/>
        <w:jc w:val="both"/>
        <w:spacing w:before="0" w:after="582" w:line="293" w:lineRule="exact"/>
        <w:ind w:left="0" w:right="0" w:firstLine="0"/>
      </w:pPr>
      <w:r>
        <w:rPr>
          <w:lang w:val="ru-RU" w:eastAsia="ru-RU" w:bidi="ru-RU"/>
          <w:sz w:val="24"/>
          <w:szCs w:val="24"/>
          <w:w w:val="100"/>
          <w:spacing w:val="0"/>
          <w:color w:val="000000"/>
          <w:position w:val="0"/>
        </w:rPr>
        <w:t>Комиссии:</w:t>
      </w:r>
    </w:p>
    <w:p>
      <w:pPr>
        <w:pStyle w:val="Style9"/>
        <w:widowControl w:val="0"/>
        <w:keepNext w:val="0"/>
        <w:keepLines w:val="0"/>
        <w:shd w:val="clear" w:color="auto" w:fill="auto"/>
        <w:bidi w:val="0"/>
        <w:jc w:val="right"/>
        <w:spacing w:before="0" w:after="0" w:line="240" w:lineRule="exact"/>
        <w:ind w:left="0" w:right="280" w:firstLine="0"/>
      </w:pPr>
      <w:r>
        <w:rPr>
          <w:lang w:val="ru-RU" w:eastAsia="ru-RU" w:bidi="ru-RU"/>
          <w:sz w:val="24"/>
          <w:szCs w:val="24"/>
          <w:w w:val="100"/>
          <w:spacing w:val="0"/>
          <w:color w:val="000000"/>
          <w:position w:val="0"/>
        </w:rPr>
        <w:t>Гареевой Д.Ф.</w:t>
      </w:r>
    </w:p>
    <w:p>
      <w:pPr>
        <w:pStyle w:val="Style9"/>
        <w:numPr>
          <w:ilvl w:val="0"/>
          <w:numId w:val="1"/>
        </w:numPr>
        <w:widowControl w:val="0"/>
        <w:keepNext w:val="0"/>
        <w:keepLines w:val="0"/>
        <w:shd w:val="clear" w:color="auto" w:fill="auto"/>
        <w:bidi w:val="0"/>
        <w:jc w:val="both"/>
        <w:spacing w:before="0" w:after="0" w:line="298" w:lineRule="exact"/>
        <w:ind w:left="220" w:right="20"/>
      </w:pPr>
      <w:r>
        <w:rPr>
          <w:lang w:val="ru-RU" w:eastAsia="ru-RU" w:bidi="ru-RU"/>
          <w:sz w:val="24"/>
          <w:szCs w:val="24"/>
          <w:w w:val="100"/>
          <w:spacing w:val="0"/>
          <w:color w:val="000000"/>
          <w:position w:val="0"/>
        </w:rPr>
        <w:t xml:space="preserve"> заместителя руководителя управления - начальника отдела контроля закупок для государственных и муниципальных нужд Челябинского УФАС России;</w:t>
      </w:r>
    </w:p>
    <w:p>
      <w:pPr>
        <w:pStyle w:val="Style9"/>
        <w:numPr>
          <w:ilvl w:val="0"/>
          <w:numId w:val="1"/>
        </w:numPr>
        <w:widowControl w:val="0"/>
        <w:keepNext w:val="0"/>
        <w:keepLines w:val="0"/>
        <w:shd w:val="clear" w:color="auto" w:fill="auto"/>
        <w:bidi w:val="0"/>
        <w:jc w:val="both"/>
        <w:spacing w:before="0" w:after="0" w:line="298" w:lineRule="exact"/>
        <w:ind w:left="220" w:right="20"/>
      </w:pPr>
      <w:r>
        <w:rPr>
          <w:lang w:val="ru-RU" w:eastAsia="ru-RU" w:bidi="ru-RU"/>
          <w:sz w:val="24"/>
          <w:szCs w:val="24"/>
          <w:w w:val="100"/>
          <w:spacing w:val="0"/>
          <w:color w:val="000000"/>
          <w:position w:val="0"/>
        </w:rPr>
        <w:t xml:space="preserve"> ведущего специалиста-эксперта отдела контроля закупок для государственных и муниципальных нужд Челябинского УФАС России;</w:t>
      </w:r>
    </w:p>
    <w:p>
      <w:pPr>
        <w:pStyle w:val="Style9"/>
        <w:numPr>
          <w:ilvl w:val="0"/>
          <w:numId w:val="1"/>
        </w:numPr>
        <w:widowControl w:val="0"/>
        <w:keepNext w:val="0"/>
        <w:keepLines w:val="0"/>
        <w:shd w:val="clear" w:color="auto" w:fill="auto"/>
        <w:bidi w:val="0"/>
        <w:jc w:val="both"/>
        <w:spacing w:before="0" w:after="0" w:line="298" w:lineRule="exact"/>
        <w:ind w:left="220" w:right="20"/>
        <w:sectPr>
          <w:type w:val="continuous"/>
          <w:pgSz w:w="16838" w:h="23810"/>
          <w:pgMar w:top="3430" w:left="3858" w:right="3042" w:bottom="3896" w:header="0" w:footer="3" w:gutter="0"/>
          <w:rtlGutter w:val="0"/>
          <w:cols w:num="2" w:space="720" w:equalWidth="0">
            <w:col w:w="3739" w:space="749"/>
            <w:col w:w="5448"/>
          </w:cols>
          <w:noEndnote/>
          <w:docGrid w:linePitch="360"/>
        </w:sectPr>
      </w:pPr>
      <w:r>
        <w:rPr>
          <w:lang w:val="ru-RU" w:eastAsia="ru-RU" w:bidi="ru-RU"/>
          <w:sz w:val="24"/>
          <w:szCs w:val="24"/>
          <w:w w:val="100"/>
          <w:spacing w:val="0"/>
          <w:color w:val="000000"/>
          <w:position w:val="0"/>
        </w:rPr>
        <w:t xml:space="preserve"> главного специалиста-эксперта отдела контроля закупок для государственных и муниципальных нужд Челябинского УФАС России,</w:t>
      </w:r>
    </w:p>
    <w:p>
      <w:pPr>
        <w:widowControl w:val="0"/>
        <w:spacing w:before="45" w:after="45"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framePr w:h="461" w:wrap="notBeside" w:vAnchor="text" w:hAnchor="text" w:xAlign="center" w:y="1"/>
        <w:widowControl w:val="0"/>
        <w:jc w:val="center"/>
        <w:rPr>
          <w:sz w:val="2"/>
          <w:szCs w:val="2"/>
        </w:rPr>
      </w:pPr>
      <w:r>
        <w:pict>
          <v:shape id="_x0000_s1030" type="#_x0000_t75" style="width:267pt;height:23pt;">
            <v:imagedata r:id="rId10" r:href="rId11"/>
          </v:shape>
        </w:pict>
      </w:r>
    </w:p>
    <w:p>
      <w:pPr>
        <w:widowControl w:val="0"/>
        <w:rPr>
          <w:sz w:val="2"/>
          <w:szCs w:val="2"/>
        </w:rPr>
      </w:pPr>
    </w:p>
    <w:p>
      <w:pPr>
        <w:widowControl w:val="0"/>
        <w:rPr>
          <w:sz w:val="2"/>
          <w:szCs w:val="2"/>
        </w:rPr>
        <w:sectPr>
          <w:type w:val="continuous"/>
          <w:pgSz w:w="16838" w:h="23810"/>
          <w:pgMar w:top="3400" w:left="2596" w:right="8898" w:bottom="3866" w:header="0" w:footer="3" w:gutter="0"/>
          <w:rtlGutter w:val="0"/>
          <w:cols w:space="720"/>
          <w:noEndnote/>
          <w:docGrid w:linePitch="360"/>
        </w:sectPr>
      </w:pPr>
    </w:p>
    <w:p>
      <w:pPr>
        <w:pStyle w:val="Style9"/>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руководствуясь частью 15 статьи 99, статьей 106 Федерального закона от 05.04.2013 № 44- ФЗ «О контрактной системе в сфере закупок товаров, работ, услуг для обеспечения государственных и мун</w:t>
      </w:r>
      <w:r>
        <w:rPr>
          <w:rStyle w:val="CharStyle32"/>
        </w:rPr>
        <w:t>ици</w:t>
      </w:r>
      <w:r>
        <w:rPr>
          <w:lang w:val="ru-RU" w:eastAsia="ru-RU" w:bidi="ru-RU"/>
          <w:sz w:val="24"/>
          <w:szCs w:val="24"/>
          <w:w w:val="100"/>
          <w:spacing w:val="0"/>
          <w:color w:val="000000"/>
          <w:position w:val="0"/>
        </w:rPr>
        <w:t>пальных нужд» (далее - Закон о контрактной системе), рассмотрев жалобу ООО «ЗЕРО-МЕД» на действия заказчика при проведении электронного аукциона на поставку дезинфицирующих средств (извещение № 0869200000222002934), при участии в заседании Комиссии в дистанционном режиме:</w:t>
      </w:r>
    </w:p>
    <w:p>
      <w:pPr>
        <w:pStyle w:val="Style9"/>
        <w:numPr>
          <w:ilvl w:val="0"/>
          <w:numId w:val="1"/>
        </w:numPr>
        <w:widowControl w:val="0"/>
        <w:keepNext w:val="0"/>
        <w:keepLines w:val="0"/>
        <w:shd w:val="clear" w:color="auto" w:fill="auto"/>
        <w:bidi w:val="0"/>
        <w:jc w:val="both"/>
        <w:spacing w:before="0" w:after="0" w:line="298" w:lineRule="exact"/>
        <w:ind w:left="20" w:right="20" w:firstLine="740"/>
      </w:pPr>
      <w:r>
        <w:rPr>
          <w:lang w:val="ru-RU" w:eastAsia="ru-RU" w:bidi="ru-RU"/>
          <w:sz w:val="24"/>
          <w:szCs w:val="24"/>
          <w:w w:val="100"/>
          <w:spacing w:val="0"/>
          <w:color w:val="000000"/>
          <w:position w:val="0"/>
        </w:rPr>
        <w:t xml:space="preserve"> представителей Государственного бюджетного учреждения здравоохранения «Челябинская областная клиническая больница» (далее - заказчик) Демидовой Е.В., Молчановой Г.Х., действующих на основании доверенностей от 10.01.2022 № б/н, от 28.06.2022 № б/н;</w:t>
      </w:r>
    </w:p>
    <w:p>
      <w:pPr>
        <w:pStyle w:val="Style9"/>
        <w:numPr>
          <w:ilvl w:val="0"/>
          <w:numId w:val="1"/>
        </w:numPr>
        <w:widowControl w:val="0"/>
        <w:keepNext w:val="0"/>
        <w:keepLines w:val="0"/>
        <w:shd w:val="clear" w:color="auto" w:fill="auto"/>
        <w:bidi w:val="0"/>
        <w:jc w:val="both"/>
        <w:spacing w:before="0" w:after="0" w:line="298" w:lineRule="exact"/>
        <w:ind w:left="20" w:right="20" w:firstLine="740"/>
      </w:pPr>
      <w:r>
        <w:rPr>
          <w:lang w:val="ru-RU" w:eastAsia="ru-RU" w:bidi="ru-RU"/>
          <w:sz w:val="24"/>
          <w:szCs w:val="24"/>
          <w:w w:val="100"/>
          <w:spacing w:val="0"/>
          <w:color w:val="000000"/>
          <w:position w:val="0"/>
        </w:rPr>
        <w:t xml:space="preserve"> представителей ГКУ «Центр организации закупок Челябинской области» (далее - уполномоченное учреждение) Пичуговой Т.В., Паровик А.А., действующих на основании доверенностей от 04.04.2022 №№ 09, 08;</w:t>
      </w:r>
    </w:p>
    <w:p>
      <w:pPr>
        <w:pStyle w:val="Style9"/>
        <w:numPr>
          <w:ilvl w:val="0"/>
          <w:numId w:val="1"/>
        </w:numPr>
        <w:widowControl w:val="0"/>
        <w:keepNext w:val="0"/>
        <w:keepLines w:val="0"/>
        <w:shd w:val="clear" w:color="auto" w:fill="auto"/>
        <w:bidi w:val="0"/>
        <w:jc w:val="both"/>
        <w:spacing w:before="0" w:after="286" w:line="298" w:lineRule="exact"/>
        <w:ind w:left="20" w:right="20" w:firstLine="740"/>
      </w:pPr>
      <w:r>
        <w:rPr>
          <w:lang w:val="ru-RU" w:eastAsia="ru-RU" w:bidi="ru-RU"/>
          <w:sz w:val="24"/>
          <w:szCs w:val="24"/>
          <w:w w:val="100"/>
          <w:spacing w:val="0"/>
          <w:color w:val="000000"/>
          <w:position w:val="0"/>
        </w:rPr>
        <w:t xml:space="preserve"> представителя ООО «ЗЕРО-МЕД» (далее - заявитель) Страхова С.И., действующего на основании доверенности от 28.06.2022 № 1,</w:t>
      </w:r>
    </w:p>
    <w:p>
      <w:pPr>
        <w:pStyle w:val="Style33"/>
        <w:widowControl w:val="0"/>
        <w:keepNext/>
        <w:keepLines/>
        <w:shd w:val="clear" w:color="auto" w:fill="auto"/>
        <w:bidi w:val="0"/>
        <w:spacing w:before="0" w:after="256" w:line="240" w:lineRule="exact"/>
        <w:ind w:left="20" w:right="0" w:firstLine="0"/>
      </w:pPr>
      <w:bookmarkStart w:id="0" w:name="bookmark0"/>
      <w:r>
        <w:rPr>
          <w:lang w:val="ru-RU" w:eastAsia="ru-RU" w:bidi="ru-RU"/>
          <w:sz w:val="24"/>
          <w:szCs w:val="24"/>
          <w:w w:val="100"/>
          <w:spacing w:val="0"/>
          <w:color w:val="000000"/>
          <w:position w:val="0"/>
        </w:rPr>
        <w:t>УСТАНОВИЛА:</w:t>
      </w:r>
      <w:bookmarkEnd w:id="0"/>
    </w:p>
    <w:p>
      <w:pPr>
        <w:pStyle w:val="Style9"/>
        <w:widowControl w:val="0"/>
        <w:keepNext w:val="0"/>
        <w:keepLines w:val="0"/>
        <w:shd w:val="clear" w:color="auto" w:fill="auto"/>
        <w:bidi w:val="0"/>
        <w:jc w:val="both"/>
        <w:spacing w:before="0" w:after="0" w:line="298" w:lineRule="exact"/>
        <w:ind w:left="20" w:right="20" w:firstLine="740"/>
      </w:pPr>
      <w:r>
        <w:rPr>
          <w:lang w:val="ru-RU" w:eastAsia="ru-RU" w:bidi="ru-RU"/>
          <w:sz w:val="24"/>
          <w:szCs w:val="24"/>
          <w:w w:val="100"/>
          <w:spacing w:val="0"/>
          <w:color w:val="000000"/>
          <w:position w:val="0"/>
        </w:rPr>
        <w:t>В Челябинское УФАС России 23.06.2022 поступила жалоба ООО «ЗЕРО-МЕД» на действия заказчика при проведении электронного аукциона на поставку дезинфицирующих средств (извещение № 0869200000222002934) (далее — аукцион, закупка).</w:t>
      </w:r>
    </w:p>
    <w:p>
      <w:pPr>
        <w:pStyle w:val="Style9"/>
        <w:widowControl w:val="0"/>
        <w:keepNext w:val="0"/>
        <w:keepLines w:val="0"/>
        <w:shd w:val="clear" w:color="auto" w:fill="auto"/>
        <w:bidi w:val="0"/>
        <w:jc w:val="both"/>
        <w:spacing w:before="0" w:after="0" w:line="298" w:lineRule="exact"/>
        <w:ind w:left="20" w:right="20" w:firstLine="740"/>
      </w:pPr>
      <w:r>
        <w:rPr>
          <w:lang w:val="ru-RU" w:eastAsia="ru-RU" w:bidi="ru-RU"/>
          <w:sz w:val="24"/>
          <w:szCs w:val="24"/>
          <w:w w:val="100"/>
          <w:spacing w:val="0"/>
          <w:color w:val="000000"/>
          <w:position w:val="0"/>
        </w:rPr>
        <w:t xml:space="preserve">Согласно представленным документам извещение о проведении конкурса опубликовано на официальном сайте единой информационной системы в сфере закупок </w:t>
      </w:r>
      <w:r>
        <w:fldChar w:fldCharType="begin"/>
      </w:r>
      <w:r>
        <w:rPr>
          <w:rStyle w:val="CharStyle35"/>
        </w:rPr>
        <w:instrText> HYPERLINK "http://www.zakupki.gov.ru/" </w:instrText>
      </w:r>
      <w:r>
        <w:fldChar w:fldCharType="separate"/>
      </w:r>
      <w:r>
        <w:rPr>
          <w:rStyle w:val="Hyperlink"/>
        </w:rPr>
        <w:t>www.zakupki.gov.ru</w:t>
      </w:r>
      <w:r>
        <w:fldChar w:fldCharType="end"/>
      </w:r>
      <w:r>
        <w:rPr>
          <w:rStyle w:val="CharStyle36"/>
        </w:rPr>
        <w:t xml:space="preserve"> </w:t>
      </w:r>
      <w:r>
        <w:rPr>
          <w:lang w:val="ru-RU" w:eastAsia="ru-RU" w:bidi="ru-RU"/>
          <w:sz w:val="24"/>
          <w:szCs w:val="24"/>
          <w:w w:val="100"/>
          <w:spacing w:val="0"/>
          <w:color w:val="000000"/>
          <w:position w:val="0"/>
        </w:rPr>
        <w:t>15.06.2022.</w:t>
      </w:r>
    </w:p>
    <w:p>
      <w:pPr>
        <w:pStyle w:val="Style9"/>
        <w:widowControl w:val="0"/>
        <w:keepNext w:val="0"/>
        <w:keepLines w:val="0"/>
        <w:shd w:val="clear" w:color="auto" w:fill="auto"/>
        <w:bidi w:val="0"/>
        <w:jc w:val="both"/>
        <w:spacing w:before="0" w:after="0" w:line="298" w:lineRule="exact"/>
        <w:ind w:left="20" w:right="0" w:firstLine="740"/>
      </w:pPr>
      <w:r>
        <w:rPr>
          <w:lang w:val="ru-RU" w:eastAsia="ru-RU" w:bidi="ru-RU"/>
          <w:sz w:val="24"/>
          <w:szCs w:val="24"/>
          <w:w w:val="100"/>
          <w:spacing w:val="0"/>
          <w:color w:val="000000"/>
          <w:position w:val="0"/>
        </w:rPr>
        <w:t>Начальная (максимальная) цена контракта составляет 4 934 895,00 рублей.</w:t>
      </w:r>
    </w:p>
    <w:p>
      <w:pPr>
        <w:pStyle w:val="Style9"/>
        <w:widowControl w:val="0"/>
        <w:keepNext w:val="0"/>
        <w:keepLines w:val="0"/>
        <w:shd w:val="clear" w:color="auto" w:fill="auto"/>
        <w:bidi w:val="0"/>
        <w:jc w:val="both"/>
        <w:spacing w:before="0" w:after="0" w:line="298" w:lineRule="exact"/>
        <w:ind w:left="20" w:right="0" w:firstLine="740"/>
      </w:pPr>
      <w:r>
        <w:rPr>
          <w:lang w:val="ru-RU" w:eastAsia="ru-RU" w:bidi="ru-RU"/>
          <w:sz w:val="24"/>
          <w:szCs w:val="24"/>
          <w:w w:val="100"/>
          <w:spacing w:val="0"/>
          <w:color w:val="000000"/>
          <w:position w:val="0"/>
        </w:rPr>
        <w:t>На момент рассмотрения жалобы контракт не заключен.</w:t>
      </w:r>
    </w:p>
    <w:p>
      <w:pPr>
        <w:pStyle w:val="Style9"/>
        <w:widowControl w:val="0"/>
        <w:keepNext w:val="0"/>
        <w:keepLines w:val="0"/>
        <w:shd w:val="clear" w:color="auto" w:fill="auto"/>
        <w:bidi w:val="0"/>
        <w:jc w:val="both"/>
        <w:spacing w:before="0" w:after="0" w:line="298" w:lineRule="exact"/>
        <w:ind w:left="20" w:right="20" w:firstLine="740"/>
      </w:pPr>
      <w:r>
        <w:rPr>
          <w:lang w:val="ru-RU" w:eastAsia="ru-RU" w:bidi="ru-RU"/>
          <w:sz w:val="24"/>
          <w:szCs w:val="24"/>
          <w:w w:val="100"/>
          <w:spacing w:val="0"/>
          <w:color w:val="000000"/>
          <w:position w:val="0"/>
        </w:rPr>
        <w:t>Как следует из доводов жалобы, описание объекта закупки не соответствует положениям законодательства о контрактной системе. При этом техническое задание не содержит обоснование установленных заказчиком дополнительных характеристик</w:t>
      </w:r>
    </w:p>
    <w:p>
      <w:pPr>
        <w:pStyle w:val="Style9"/>
        <w:widowControl w:val="0"/>
        <w:keepNext w:val="0"/>
        <w:keepLines w:val="0"/>
        <w:shd w:val="clear" w:color="auto" w:fill="auto"/>
        <w:bidi w:val="0"/>
        <w:jc w:val="both"/>
        <w:spacing w:before="0" w:after="0" w:line="298" w:lineRule="exact"/>
        <w:ind w:left="20" w:right="20" w:firstLine="740"/>
      </w:pPr>
      <w:r>
        <w:rPr>
          <w:lang w:val="ru-RU" w:eastAsia="ru-RU" w:bidi="ru-RU"/>
          <w:sz w:val="24"/>
          <w:szCs w:val="24"/>
          <w:w w:val="100"/>
          <w:spacing w:val="0"/>
          <w:color w:val="000000"/>
          <w:position w:val="0"/>
        </w:rPr>
        <w:t>Представители заказчика с доводами жалобы не согласились, представили письменные пояснения, которые на заседании Комиссии поддержали, и указали, что по характеристикам дезинфицирующих средств, указанным в КТРУ, невозможно определить соответствие товара, предлагаемого к поставке, заказчиком принято решение об описании технических характеристик данного товара, имеющих существенное значение для заказчика. Заказчик указал обоснование дополнительных характеристик согласно статье 33 Закона о контрактной системе и Постановления от 08.02.2017 № 145. Приведенное обоснование заказчика кратко, но исчерпывающе отражает потребность заказчика в закупаемых средствах.</w:t>
      </w:r>
    </w:p>
    <w:p>
      <w:pPr>
        <w:pStyle w:val="Style9"/>
        <w:widowControl w:val="0"/>
        <w:keepNext w:val="0"/>
        <w:keepLines w:val="0"/>
        <w:shd w:val="clear" w:color="auto" w:fill="auto"/>
        <w:bidi w:val="0"/>
        <w:jc w:val="both"/>
        <w:spacing w:before="0" w:after="0" w:line="298" w:lineRule="exact"/>
        <w:ind w:left="20" w:right="20" w:firstLine="740"/>
      </w:pPr>
      <w:r>
        <w:rPr>
          <w:lang w:val="ru-RU" w:eastAsia="ru-RU" w:bidi="ru-RU"/>
          <w:sz w:val="24"/>
          <w:szCs w:val="24"/>
          <w:w w:val="100"/>
          <w:spacing w:val="0"/>
          <w:color w:val="000000"/>
          <w:position w:val="0"/>
        </w:rPr>
        <w:t>Заказчик представляет собой лечебное учреждение широкого профиля, дезинфекционные мероприятия в котором проводятся в соответствии с утвержденными требованиями нормативных актов. При описании товара заказчик вправе указывать качественные параметры объекта закупки, которые являются определяющими для него. В соответствии с различными санитарными нормативами заказчиком проводится дезинфекция в отношении микроорганизмов разной этиологии, что нашло свое отражение в техническом задании. Применение каждого дезинфицирующего средства регламентируется соответствующими режимами применения. Требования к режимам применения, установленные в техническом задании, также отражают потребность заказчика в требуемых ему дезинфектантах.</w:t>
      </w:r>
    </w:p>
    <w:p>
      <w:pPr>
        <w:pStyle w:val="Style37"/>
        <w:widowControl w:val="0"/>
        <w:keepNext w:val="0"/>
        <w:keepLines w:val="0"/>
        <w:shd w:val="clear" w:color="auto" w:fill="auto"/>
        <w:bidi w:val="0"/>
        <w:spacing w:before="0" w:after="240"/>
        <w:ind w:left="40" w:right="20" w:firstLine="700"/>
      </w:pPr>
      <w:r>
        <w:rPr>
          <w:lang w:val="ru-RU" w:eastAsia="ru-RU" w:bidi="ru-RU"/>
          <w:sz w:val="24"/>
          <w:szCs w:val="24"/>
          <w:w w:val="100"/>
          <w:spacing w:val="0"/>
          <w:color w:val="000000"/>
          <w:position w:val="0"/>
        </w:rPr>
        <w:t>Заслушав пояснения сторон, изучив представленные документы и материалы, руководствуясь статьей 99 Закона о контрактной системе, Комиссия пришла к следующим выводам.</w:t>
      </w:r>
    </w:p>
    <w:p>
      <w:pPr>
        <w:pStyle w:val="Style9"/>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В силу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w:t>
      </w:r>
      <w:r>
        <w:rPr>
          <w:rStyle w:val="CharStyle32"/>
        </w:rPr>
        <w:t>ици</w:t>
      </w:r>
      <w:r>
        <w:rPr>
          <w:lang w:val="ru-RU" w:eastAsia="ru-RU" w:bidi="ru-RU"/>
          <w:sz w:val="24"/>
          <w:szCs w:val="24"/>
          <w:w w:val="100"/>
          <w:spacing w:val="0"/>
          <w:color w:val="000000"/>
          <w:position w:val="0"/>
        </w:rPr>
        <w:t>пальных нужд, а также правила использования указанного каталога устанавливаются Правительством Российской Федерации. 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и ведения КТРУ) и Правил использования каталога товаров, работ, услуг для обеспечения государственных и мун</w:t>
      </w:r>
      <w:r>
        <w:rPr>
          <w:rStyle w:val="CharStyle32"/>
        </w:rPr>
        <w:t>ици</w:t>
      </w:r>
      <w:r>
        <w:rPr>
          <w:lang w:val="ru-RU" w:eastAsia="ru-RU" w:bidi="ru-RU"/>
          <w:sz w:val="24"/>
          <w:szCs w:val="24"/>
          <w:w w:val="100"/>
          <w:spacing w:val="0"/>
          <w:color w:val="000000"/>
          <w:position w:val="0"/>
        </w:rPr>
        <w:t>пальных нужд (далее - Правила использования КТРУ).</w:t>
      </w:r>
    </w:p>
    <w:p>
      <w:pPr>
        <w:pStyle w:val="Style9"/>
        <w:widowControl w:val="0"/>
        <w:keepNext w:val="0"/>
        <w:keepLines w:val="0"/>
        <w:shd w:val="clear" w:color="auto" w:fill="auto"/>
        <w:bidi w:val="0"/>
        <w:jc w:val="both"/>
        <w:spacing w:before="0" w:after="0" w:line="298" w:lineRule="exact"/>
        <w:ind w:left="40" w:right="20" w:firstLine="580"/>
      </w:pPr>
      <w:r>
        <w:rPr>
          <w:lang w:val="ru-RU" w:eastAsia="ru-RU" w:bidi="ru-RU"/>
          <w:sz w:val="24"/>
          <w:szCs w:val="24"/>
          <w:w w:val="100"/>
          <w:spacing w:val="0"/>
          <w:color w:val="000000"/>
          <w:position w:val="0"/>
        </w:rPr>
        <w:t>Согласно пункту 4 Правил использования КТРУ заказчики обязаны применять информацию, включенную в позицию каталога в соответствии с подпунктами «б» - «и» пункта 10 Правил формирования и ведения КТРУ,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w:t>
      </w:r>
      <w:r>
        <w:rPr>
          <w:rStyle w:val="CharStyle32"/>
        </w:rPr>
        <w:t>ици</w:t>
      </w:r>
      <w:r>
        <w:rPr>
          <w:lang w:val="ru-RU" w:eastAsia="ru-RU" w:bidi="ru-RU"/>
          <w:sz w:val="24"/>
          <w:szCs w:val="24"/>
          <w:w w:val="100"/>
          <w:spacing w:val="0"/>
          <w:color w:val="000000"/>
          <w:position w:val="0"/>
        </w:rPr>
        <w:t>ю.</w:t>
      </w:r>
    </w:p>
    <w:p>
      <w:pPr>
        <w:pStyle w:val="Style9"/>
        <w:widowControl w:val="0"/>
        <w:keepNext w:val="0"/>
        <w:keepLines w:val="0"/>
        <w:shd w:val="clear" w:color="auto" w:fill="auto"/>
        <w:bidi w:val="0"/>
        <w:jc w:val="both"/>
        <w:spacing w:before="0" w:after="0" w:line="298" w:lineRule="exact"/>
        <w:ind w:left="40" w:right="20" w:firstLine="580"/>
      </w:pPr>
      <w:r>
        <w:rPr>
          <w:lang w:val="ru-RU" w:eastAsia="ru-RU" w:bidi="ru-RU"/>
          <w:sz w:val="24"/>
          <w:szCs w:val="24"/>
          <w:w w:val="100"/>
          <w:spacing w:val="0"/>
          <w:color w:val="000000"/>
          <w:position w:val="0"/>
        </w:rPr>
        <w:t>Исходя из подпункта а пункта 5 Правил использования КТРУ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w:t>
      </w:r>
      <w:r>
        <w:rPr>
          <w:lang w:val="ru-RU" w:eastAsia="ru-RU" w:bidi="ru-RU"/>
          <w:sz w:val="24"/>
          <w:szCs w:val="24"/>
          <w:w w:val="100"/>
          <w:spacing w:val="0"/>
          <w:color w:val="000000"/>
          <w:position w:val="0"/>
        </w:rPr>
        <w:t xml:space="preserve"> </w:t>
      </w:r>
      <w:r>
        <w:rPr>
          <w:rStyle w:val="CharStyle32"/>
        </w:rPr>
        <w:t>статьи 33</w:t>
      </w:r>
      <w:r>
        <w:rPr>
          <w:lang w:val="ru-RU" w:eastAsia="ru-RU" w:bidi="ru-RU"/>
          <w:sz w:val="24"/>
          <w:szCs w:val="24"/>
          <w:w w:val="100"/>
          <w:spacing w:val="0"/>
          <w:color w:val="000000"/>
          <w:position w:val="0"/>
        </w:rPr>
        <w:t xml:space="preserve"> </w:t>
      </w:r>
      <w:r>
        <w:rPr>
          <w:lang w:val="ru-RU" w:eastAsia="ru-RU" w:bidi="ru-RU"/>
          <w:sz w:val="24"/>
          <w:szCs w:val="24"/>
          <w:w w:val="100"/>
          <w:spacing w:val="0"/>
          <w:color w:val="000000"/>
          <w:position w:val="0"/>
        </w:rPr>
        <w:t>Федерального закона, которые не предусмотрены в позиции каталога.</w:t>
      </w:r>
    </w:p>
    <w:p>
      <w:pPr>
        <w:pStyle w:val="Style9"/>
        <w:widowControl w:val="0"/>
        <w:keepNext w:val="0"/>
        <w:keepLines w:val="0"/>
        <w:shd w:val="clear" w:color="auto" w:fill="auto"/>
        <w:bidi w:val="0"/>
        <w:jc w:val="both"/>
        <w:spacing w:before="0" w:after="0" w:line="298" w:lineRule="exact"/>
        <w:ind w:left="40" w:right="20" w:firstLine="580"/>
      </w:pPr>
      <w:r>
        <w:rPr>
          <w:lang w:val="ru-RU" w:eastAsia="ru-RU" w:bidi="ru-RU"/>
          <w:sz w:val="24"/>
          <w:szCs w:val="24"/>
          <w:w w:val="100"/>
          <w:spacing w:val="0"/>
          <w:color w:val="000000"/>
          <w:position w:val="0"/>
        </w:rPr>
        <w:t>В соответствии с пунктом 6 Правил использования КТРУ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9"/>
        <w:widowControl w:val="0"/>
        <w:keepNext w:val="0"/>
        <w:keepLines w:val="0"/>
        <w:shd w:val="clear" w:color="auto" w:fill="auto"/>
        <w:bidi w:val="0"/>
        <w:jc w:val="both"/>
        <w:spacing w:before="0" w:after="0" w:line="298" w:lineRule="exact"/>
        <w:ind w:left="40" w:right="0" w:firstLine="580"/>
      </w:pPr>
      <w:r>
        <w:rPr>
          <w:lang w:val="ru-RU" w:eastAsia="ru-RU" w:bidi="ru-RU"/>
          <w:sz w:val="24"/>
          <w:szCs w:val="24"/>
          <w:w w:val="100"/>
          <w:spacing w:val="0"/>
          <w:color w:val="000000"/>
          <w:position w:val="0"/>
        </w:rPr>
        <w:t>Объектом рассматриваемой закупки является поставка дезинфицирующих средств.</w:t>
      </w:r>
    </w:p>
    <w:p>
      <w:pPr>
        <w:pStyle w:val="Style9"/>
        <w:widowControl w:val="0"/>
        <w:keepNext w:val="0"/>
        <w:keepLines w:val="0"/>
        <w:shd w:val="clear" w:color="auto" w:fill="auto"/>
        <w:bidi w:val="0"/>
        <w:jc w:val="both"/>
        <w:spacing w:before="0" w:after="0" w:line="298" w:lineRule="exact"/>
        <w:ind w:left="40" w:right="20" w:firstLine="580"/>
      </w:pPr>
      <w:r>
        <w:rPr>
          <w:lang w:val="ru-RU" w:eastAsia="ru-RU" w:bidi="ru-RU"/>
          <w:sz w:val="24"/>
          <w:szCs w:val="24"/>
          <w:w w:val="100"/>
          <w:spacing w:val="0"/>
          <w:color w:val="000000"/>
          <w:position w:val="0"/>
        </w:rPr>
        <w:t>Согласно извещению об осуществлению закупки заказчиком установлен код в соответствии с «ОК 034-2014 (КПЕС 2008). Общероссийский классификатор продукции по видам экономической деятельности» (далее - ОКПД 2) 20.20.14.000-00000005.</w:t>
      </w:r>
    </w:p>
    <w:p>
      <w:pPr>
        <w:pStyle w:val="Style9"/>
        <w:widowControl w:val="0"/>
        <w:keepNext w:val="0"/>
        <w:keepLines w:val="0"/>
        <w:shd w:val="clear" w:color="auto" w:fill="auto"/>
        <w:bidi w:val="0"/>
        <w:jc w:val="both"/>
        <w:spacing w:before="0" w:after="0" w:line="302" w:lineRule="exact"/>
        <w:ind w:left="40" w:right="20" w:firstLine="580"/>
      </w:pPr>
      <w:r>
        <w:rPr>
          <w:lang w:val="ru-RU" w:eastAsia="ru-RU" w:bidi="ru-RU"/>
          <w:sz w:val="24"/>
          <w:szCs w:val="24"/>
          <w:w w:val="100"/>
          <w:spacing w:val="0"/>
          <w:color w:val="000000"/>
          <w:position w:val="0"/>
        </w:rPr>
        <w:t>Позиция КТРУ соответствующая указанному коду содержат одну характеристику товара «форма выпуска».</w:t>
      </w:r>
    </w:p>
    <w:p>
      <w:pPr>
        <w:pStyle w:val="Style9"/>
        <w:widowControl w:val="0"/>
        <w:keepNext w:val="0"/>
        <w:keepLines w:val="0"/>
        <w:shd w:val="clear" w:color="auto" w:fill="auto"/>
        <w:bidi w:val="0"/>
        <w:jc w:val="both"/>
        <w:spacing w:before="0" w:after="0" w:line="298" w:lineRule="exact"/>
        <w:ind w:left="40" w:right="20" w:firstLine="580"/>
      </w:pPr>
      <w:r>
        <w:rPr>
          <w:lang w:val="ru-RU" w:eastAsia="ru-RU" w:bidi="ru-RU"/>
          <w:sz w:val="24"/>
          <w:szCs w:val="24"/>
          <w:w w:val="100"/>
          <w:spacing w:val="0"/>
          <w:color w:val="000000"/>
          <w:position w:val="0"/>
        </w:rPr>
        <w:t>Описание объекта закупки установлено заказчиком в электронном документе «Описание объекта закупки» (приложение к № 1 извещению), согласно которому к поставке требуется 7 различных позиций дезинфицирующего средства.</w:t>
      </w:r>
    </w:p>
    <w:p>
      <w:pPr>
        <w:pStyle w:val="Style9"/>
        <w:widowControl w:val="0"/>
        <w:keepNext w:val="0"/>
        <w:keepLines w:val="0"/>
        <w:shd w:val="clear" w:color="auto" w:fill="auto"/>
        <w:bidi w:val="0"/>
        <w:jc w:val="both"/>
        <w:spacing w:before="0" w:after="240" w:line="298" w:lineRule="exact"/>
        <w:ind w:left="40" w:right="20" w:firstLine="580"/>
      </w:pPr>
      <w:r>
        <w:rPr>
          <w:lang w:val="ru-RU" w:eastAsia="ru-RU" w:bidi="ru-RU"/>
          <w:sz w:val="24"/>
          <w:szCs w:val="24"/>
          <w:w w:val="100"/>
          <w:spacing w:val="0"/>
          <w:color w:val="000000"/>
          <w:position w:val="0"/>
        </w:rPr>
        <w:t>В качестве требований к поставляемому товару заказчиком установлены дополнительные требования к товару, не включенные в позицию КТРУ, в том числе: функциональное назначение, состав, свойства, режим применения дезинфицирующего средства и др.</w:t>
      </w:r>
    </w:p>
    <w:p>
      <w:pPr>
        <w:pStyle w:val="Style9"/>
        <w:numPr>
          <w:ilvl w:val="0"/>
          <w:numId w:val="3"/>
        </w:numPr>
        <w:tabs>
          <w:tab w:leader="none" w:pos="924" w:val="left"/>
        </w:tabs>
        <w:widowControl w:val="0"/>
        <w:keepNext w:val="0"/>
        <w:keepLines w:val="0"/>
        <w:shd w:val="clear" w:color="auto" w:fill="auto"/>
        <w:bidi w:val="0"/>
        <w:jc w:val="both"/>
        <w:spacing w:before="0" w:after="0" w:line="298" w:lineRule="exact"/>
        <w:ind w:left="40" w:right="20" w:firstLine="580"/>
      </w:pPr>
      <w:r>
        <w:rPr>
          <w:lang w:val="ru-RU" w:eastAsia="ru-RU" w:bidi="ru-RU"/>
          <w:sz w:val="24"/>
          <w:szCs w:val="24"/>
          <w:w w:val="100"/>
          <w:spacing w:val="0"/>
          <w:color w:val="000000"/>
          <w:position w:val="0"/>
        </w:rPr>
        <w:t>Согласно доводам жалобы в пунктах 2.1 поз</w:t>
      </w:r>
      <w:r>
        <w:rPr>
          <w:rStyle w:val="CharStyle32"/>
        </w:rPr>
        <w:t>ици</w:t>
      </w:r>
      <w:r>
        <w:rPr>
          <w:lang w:val="ru-RU" w:eastAsia="ru-RU" w:bidi="ru-RU"/>
          <w:sz w:val="24"/>
          <w:szCs w:val="24"/>
          <w:w w:val="100"/>
          <w:spacing w:val="0"/>
          <w:color w:val="000000"/>
          <w:position w:val="0"/>
        </w:rPr>
        <w:t>й 3, 4 Описания объекта закупки (Приложение № 1 к извещению) заказчик не конкретизировал наименование спирта, указав в качестве действующего вещества «Спирты», должным образом не обосновал установленную минимальную границу спиртов в виде «не менее 70%». Тогда как пункт 1.1.5 таблицы 1 приложения № 2 СанПин 3.3686-21 предусматривает, что кожные антисептики на основе спирта этилового должны содержать не менее 70% по массе, спирта изопропилового не менее 60% по массе, смеси спиртов не менее 60% по массе.</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Представители заказчика возразили и указали, что заявитель намеренно «не замечает» обоснование заказчика, приводя в качестве доводов положения СанПиН 3.3686-21 «Санитарно-эпидемиологические требования по профилактике инфекционных болезней». В цитируемом заявителем положении СанПиН 3.3686-21 приводятся требования к минимальному процентному содержанию спиртов при проведении обеззараживания объектов в отношении бактерий, не образующих спор. При этом заказчик проводит дезинфекцию объектов не только в отношении возбудителей бактериальных инфекций. Актуальными для заказчика являются режимы дезинфекции в отношении возбудителей вирусных, грибковых инфекций, туберкулеза.</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Представители заказчика отметили, что в нормативных документах, приведенных заказчиком в качестве обоснования запрашиваемой потребности, приводятся следующие рекомендации в отношении процентного содержания спиртов в составе спирто</w:t>
        <w:softHyphen/>
        <w:t>содержащих кожных антисептиков:</w:t>
      </w:r>
    </w:p>
    <w:p>
      <w:pPr>
        <w:pStyle w:val="Style9"/>
        <w:numPr>
          <w:ilvl w:val="0"/>
          <w:numId w:val="1"/>
        </w:numPr>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xml:space="preserve"> Методические указания МУ 3.5.1.3674-20 «Обеззараживание рук мед</w:t>
      </w:r>
      <w:r>
        <w:rPr>
          <w:rStyle w:val="CharStyle32"/>
        </w:rPr>
        <w:t>ици</w:t>
      </w:r>
      <w:r>
        <w:rPr>
          <w:lang w:val="ru-RU" w:eastAsia="ru-RU" w:bidi="ru-RU"/>
          <w:sz w:val="24"/>
          <w:szCs w:val="24"/>
          <w:w w:val="100"/>
          <w:spacing w:val="0"/>
          <w:color w:val="000000"/>
          <w:position w:val="0"/>
        </w:rPr>
        <w:t>нских работников и кожных покровов пациентов при оказании медицинской помощи», пункт 2, приложение 2: «Спиртосодержащие (без дополнительных антимикробных добавок) кожные антисептики имеют, как правило, оптимальную эффективность при концентрации спиртов (по массе): этилового - не менее 70%, изопропилового - не менее 60%, пропилового - не менее 50%; в композ</w:t>
      </w:r>
      <w:r>
        <w:rPr>
          <w:rStyle w:val="CharStyle32"/>
        </w:rPr>
        <w:t>ици</w:t>
      </w:r>
      <w:r>
        <w:rPr>
          <w:lang w:val="ru-RU" w:eastAsia="ru-RU" w:bidi="ru-RU"/>
          <w:sz w:val="24"/>
          <w:szCs w:val="24"/>
          <w:w w:val="100"/>
          <w:spacing w:val="0"/>
          <w:color w:val="000000"/>
          <w:position w:val="0"/>
        </w:rPr>
        <w:t>онных составах кожных антисептиков оптимальное суммарное содержание этилового и/или изопропилового и/или пропилового спиртов должно составлять 60-70%»;</w:t>
      </w:r>
    </w:p>
    <w:p>
      <w:pPr>
        <w:pStyle w:val="Style9"/>
        <w:numPr>
          <w:ilvl w:val="0"/>
          <w:numId w:val="1"/>
        </w:numPr>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xml:space="preserve"> Федеральные клинические рекомендации «Гигиена рук медицинского персонала», выпущенных Национальной ассоциацией специалистов по контролю инфекций, связанных с оказанием медицинской помощи, стр. 21: «оптимальная композиция этилового и/или изопропилового спиртов общей концентрацией не менее 70%»;</w:t>
      </w:r>
    </w:p>
    <w:p>
      <w:pPr>
        <w:pStyle w:val="Style9"/>
        <w:numPr>
          <w:ilvl w:val="0"/>
          <w:numId w:val="1"/>
        </w:numPr>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xml:space="preserve"> в пункте 4.5.5 Федеральных рекомендаций указано, что «Эффективные концентрации спиртов в кожных антисептиках следующие (по массе): изопропилового спирта - не менее 60%; этилового спирта - не менее 70%. Наличие в рецептурах ДС разных спиртов составляет их концентрации в итоговой сумме в таком же диапазоне - 60</w:t>
        <w:softHyphen/>
        <w:t>70%»;</w:t>
      </w:r>
    </w:p>
    <w:p>
      <w:pPr>
        <w:pStyle w:val="Style9"/>
        <w:numPr>
          <w:ilvl w:val="0"/>
          <w:numId w:val="1"/>
        </w:numPr>
        <w:tabs>
          <w:tab w:leader="none" w:pos="6250" w:val="left"/>
        </w:tabs>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xml:space="preserve"> Рекомендации Роспотребнадзора от 23 января 2020 года № 02/770-2020-32 «Об инструкции по проведению дезинфекционных мероприятий для профилактики заболеваний, вызываемых коронавирусами»: «Для дезинфекции могут быть использованы средства из различных химических групп:</w:t>
        <w:tab/>
        <w:t>хлорактивные (натриевая соль дихлоризоциануровой кислоты - в концентрации активного хлора в рабочем растворе не менее 0,06%, хлорамин Б - в концентрации активного хлора в рабочем растворе не менее 3,0%), кислородактивные (перекись водорода - в концентрации не менее 3,0%), катионные поверхностно-активные вещества (КПАВ) - четвертичные аммониевые соединения (в концентрации в рабочем растворе не менее 0.5%), третичные амины (в концентрации в рабочем растворе не менее 0,05%), полимерные производные гуанидина (в концентрации в рабочем растворе не менее 0,2%), спирты (в качестве кожных антисептиков и дезинфицирующих средств для обработки небольших по площади поверхностей - изопропиловый спирт в концентрации не менее 70% по массе, этиловый спирт в концентрации не менее 75% по массе). Содержание действующих веществ указано в Инструкциях по применению».</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Вместе с тем, Комиссия антимонопольного органа отмечает, что письмо Роспотребнадзора от 27.03.2020 № 02/5225-2020-24 «О проведении дезинфекционных мероприятий», подготовленному в дополнение к инструкции по проведению дезинфекционных мероприятий для профилактики заболеваний, вызываемых коронавирусами (письмо Роспотребнадзора от 23.01.2020 № 02/770-2020-32), содержит следующее:</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xml:space="preserve">«Для гигиенической обработки рук могут использоваться кожные антисептики с содержанием спирта этилового (не менее 70% по массе), спирта изопропилового (не менее 60% по массе) или </w:t>
      </w:r>
      <w:r>
        <w:rPr>
          <w:rStyle w:val="CharStyle32"/>
        </w:rPr>
        <w:t>смеси спиртов (не менее 60% по массе),</w:t>
      </w:r>
      <w:r>
        <w:rPr>
          <w:lang w:val="ru-RU" w:eastAsia="ru-RU" w:bidi="ru-RU"/>
          <w:sz w:val="24"/>
          <w:szCs w:val="24"/>
          <w:w w:val="100"/>
          <w:spacing w:val="0"/>
          <w:color w:val="000000"/>
          <w:position w:val="0"/>
        </w:rPr>
        <w:t xml:space="preserve"> а также парфюмерно</w:t>
        <w:softHyphen/>
        <w:t>косметическая продукция (жидкости, лосьоны, гели, одноразовые влажные салфетки) с аналогичным содержанием спиртов».</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Из содержания письма Роспотребназора следует возможность использования дезинфецирующих средств, действующее вещество которых составляет пропиловый спирт или изопропиловый спирт, или этиловый спирт, или смесь спиртов.</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Представители заказчика пояснили, что потребности заказчика соответствуют антисептики на основе этилового, пропилового, изопропилового спиртов или их смеси.</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Однако описание объекта закупки (Приложение № 1 к извещению) не соответствует пояснениям представителей заказчика, поскольку в поз</w:t>
      </w:r>
      <w:r>
        <w:rPr>
          <w:rStyle w:val="CharStyle32"/>
        </w:rPr>
        <w:t>ици</w:t>
      </w:r>
      <w:r>
        <w:rPr>
          <w:lang w:val="ru-RU" w:eastAsia="ru-RU" w:bidi="ru-RU"/>
          <w:sz w:val="24"/>
          <w:szCs w:val="24"/>
          <w:w w:val="100"/>
          <w:spacing w:val="0"/>
          <w:color w:val="000000"/>
          <w:position w:val="0"/>
        </w:rPr>
        <w:t>ях 3, 4 требование к действующему веществу указано заказчиком - «Спирты», что буквально предполагает исключительно смесь спиртов и может привести к заблуждению потенциальных поставщиков.</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Указанное заказчиком при описании объекта закупки обоснование требования к процентному содержанию спиртов в полной мере не отражает основания указания данных требований.</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Так, например, в качестве обоснования установленных требований заказчик указывает следующее:</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«Требование к процентному содержанию спиртов выставляется на основании положений нормативного документа Методические указания МУ 3.5.1.3674-20 «Обеззараживание рук медицинских работников и кожных покровов пациентов при оказании медицинской помощи», а так же, требований Федеральных клинических рекомендаций «Гигиена рук медицинского персонала», выпущенных Национальной ассоциацией специалистов по контролю инфекций, связанных с оказанием медицинской помощи, а так же, рекомендации Роспотребнадзора от 23 января 2020 года № 02/770-2020</w:t>
        <w:softHyphen/>
        <w:t>32 «Об инструкции по проведению дезинфекционных мероприятий для профилактики заболеваний, вызываемых коронавирусами».</w:t>
      </w:r>
    </w:p>
    <w:p>
      <w:pPr>
        <w:pStyle w:val="Style9"/>
        <w:widowControl w:val="0"/>
        <w:keepNext w:val="0"/>
        <w:keepLines w:val="0"/>
        <w:shd w:val="clear" w:color="auto" w:fill="auto"/>
        <w:bidi w:val="0"/>
        <w:jc w:val="both"/>
        <w:spacing w:before="0" w:after="0" w:line="298" w:lineRule="exact"/>
        <w:ind w:left="20" w:right="0" w:firstLine="560"/>
      </w:pPr>
      <w:r>
        <w:rPr>
          <w:lang w:val="ru-RU" w:eastAsia="ru-RU" w:bidi="ru-RU"/>
          <w:sz w:val="24"/>
          <w:szCs w:val="24"/>
          <w:w w:val="100"/>
          <w:spacing w:val="0"/>
          <w:color w:val="000000"/>
          <w:position w:val="0"/>
        </w:rPr>
        <w:t>Однако, изучив указанные документы, а также письмо Роспотребнадзора от</w:t>
      </w:r>
    </w:p>
    <w:p>
      <w:pPr>
        <w:pStyle w:val="Style9"/>
        <w:numPr>
          <w:ilvl w:val="0"/>
          <w:numId w:val="5"/>
        </w:numPr>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 xml:space="preserve"> № 02/5225-2020-24 «О проведении дезинфекционных мероприятий», Комиссия приходит к следующим выводам.</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Указанные заказчиком нормативные акты не регламентируют установленное требование к содержанию спиртов «не менее 70%», поскольку такое требование не обусловлено ни одним из документов и не соответствует письму Роспотребнадзора от</w:t>
      </w:r>
    </w:p>
    <w:p>
      <w:pPr>
        <w:pStyle w:val="Style9"/>
        <w:numPr>
          <w:ilvl w:val="0"/>
          <w:numId w:val="7"/>
        </w:numPr>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 xml:space="preserve"> № 02/5225-2020-24 «О проведении дезинфекционных мероприятий».</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Таким образом, в нарушение части 6 статьи 23 Закона о контрактной системе, пункта 6 Правил использования КТРУ заказчиком в описание объекта закупки указаны дополнительные требования к товару, не включенные в поз</w:t>
      </w:r>
      <w:r>
        <w:rPr>
          <w:rStyle w:val="CharStyle32"/>
        </w:rPr>
        <w:t>ици</w:t>
      </w:r>
      <w:r>
        <w:rPr>
          <w:lang w:val="ru-RU" w:eastAsia="ru-RU" w:bidi="ru-RU"/>
          <w:sz w:val="24"/>
          <w:szCs w:val="24"/>
          <w:w w:val="100"/>
          <w:spacing w:val="0"/>
          <w:color w:val="000000"/>
          <w:position w:val="0"/>
        </w:rPr>
        <w:t>и КТРУ, без обоснования установления таких требований.</w:t>
      </w:r>
    </w:p>
    <w:p>
      <w:pPr>
        <w:pStyle w:val="Style9"/>
        <w:numPr>
          <w:ilvl w:val="0"/>
          <w:numId w:val="3"/>
        </w:numPr>
        <w:tabs>
          <w:tab w:leader="none" w:pos="898" w:val="left"/>
        </w:tabs>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Согласно доводам жалобы в пунктах 3 позиций 3, 4 Описания объекта закупки (Приложение № 1 к извещению) заказчиком «Установлено отсутствие в составе средства как группы ДВ (производные гуанидина), так и конкретное ДВ из этой же группы (октенидина). ДВ группы «гуанидины» имеют одинаковую высокую противомикробную направленность».</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Как следует из письменных пояснений заказчика, в нормативном документе Методические указания МУ 3.5.1.3674-20 «Обеззараживание рук мед</w:t>
      </w:r>
      <w:r>
        <w:rPr>
          <w:rStyle w:val="CharStyle32"/>
        </w:rPr>
        <w:t>ици</w:t>
      </w:r>
      <w:r>
        <w:rPr>
          <w:lang w:val="ru-RU" w:eastAsia="ru-RU" w:bidi="ru-RU"/>
          <w:sz w:val="24"/>
          <w:szCs w:val="24"/>
          <w:w w:val="100"/>
          <w:spacing w:val="0"/>
          <w:color w:val="000000"/>
          <w:position w:val="0"/>
        </w:rPr>
        <w:t>нских работников и кожных покровов пациентов при оказании медицинской помощи» (пункт 3 Приложения 2) указано: «В состав кожных антисептиков могут входить катионные поверхностно</w:t>
        <w:softHyphen/>
        <w:t>активные вещества (КПАВ) - четвертичные аммониевые соединения (ЧАС), производные гуанидинов - полигексаметиленгуанидины (ПГМГ), хлоргексидина биглюконат (ХГБ), октенидин гидрохлорид, октенидин дигидрохлорид, третичные алкиламины, йодофоры, феноксиэтанол и др».</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При этом представители заказчика на заседании Комиссии пояснили, что октенидин гидрохлорид, октенидин дигидрохлорид - это относительно новые действующие вещества, относящиеся к группе катионных поверхностно-активных веществ.</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Таким образом, довод жалобы об излишней конкретизации заказчиком группы производных гуанидина, является необоснованным, недоказанным.</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Вместе с тем, Комиссия Челябинского УФАС России, обратив внимание на пояснение заказчика касательно видов антимикробных добавок, в отношении которых в описании объекта закупки установлено требование об ограничения по составу, отмечает следующее.</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 качестве обоснования указания такого требования заказчик ссылается на следующие документы:</w:t>
      </w:r>
    </w:p>
    <w:p>
      <w:pPr>
        <w:pStyle w:val="Style9"/>
        <w:numPr>
          <w:ilvl w:val="0"/>
          <w:numId w:val="1"/>
        </w:numPr>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xml:space="preserve"> СанПиН 3.3686-21 «Санитарно-эпидемиологические требования по профилактике инфекционных болезней»;</w:t>
      </w:r>
    </w:p>
    <w:p>
      <w:pPr>
        <w:pStyle w:val="Style9"/>
        <w:numPr>
          <w:ilvl w:val="0"/>
          <w:numId w:val="1"/>
        </w:numPr>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xml:space="preserve"> МУ 3.5.1.3674-20 «Обеззараживание рук мед</w:t>
      </w:r>
      <w:r>
        <w:rPr>
          <w:rStyle w:val="CharStyle32"/>
        </w:rPr>
        <w:t>ици</w:t>
      </w:r>
      <w:r>
        <w:rPr>
          <w:lang w:val="ru-RU" w:eastAsia="ru-RU" w:bidi="ru-RU"/>
          <w:sz w:val="24"/>
          <w:szCs w:val="24"/>
          <w:w w:val="100"/>
          <w:spacing w:val="0"/>
          <w:color w:val="000000"/>
          <w:position w:val="0"/>
        </w:rPr>
        <w:t>нских работников и кожных покровов пациентов при оказании мед</w:t>
      </w:r>
      <w:r>
        <w:rPr>
          <w:rStyle w:val="CharStyle32"/>
        </w:rPr>
        <w:t>ици</w:t>
      </w:r>
      <w:r>
        <w:rPr>
          <w:lang w:val="ru-RU" w:eastAsia="ru-RU" w:bidi="ru-RU"/>
          <w:sz w:val="24"/>
          <w:szCs w:val="24"/>
          <w:w w:val="100"/>
          <w:spacing w:val="0"/>
          <w:color w:val="000000"/>
          <w:position w:val="0"/>
        </w:rPr>
        <w:t>нской помощи»,;</w:t>
      </w:r>
    </w:p>
    <w:p>
      <w:pPr>
        <w:pStyle w:val="Style9"/>
        <w:numPr>
          <w:ilvl w:val="0"/>
          <w:numId w:val="1"/>
        </w:numPr>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xml:space="preserve"> МУ 3.5.1.3439-17 «Оценка чувствительности к дезинф</w:t>
      </w:r>
      <w:r>
        <w:rPr>
          <w:rStyle w:val="CharStyle32"/>
        </w:rPr>
        <w:t>ици</w:t>
      </w:r>
      <w:r>
        <w:rPr>
          <w:lang w:val="ru-RU" w:eastAsia="ru-RU" w:bidi="ru-RU"/>
          <w:sz w:val="24"/>
          <w:szCs w:val="24"/>
          <w:w w:val="100"/>
          <w:spacing w:val="0"/>
          <w:color w:val="000000"/>
          <w:position w:val="0"/>
        </w:rPr>
        <w:t>рую</w:t>
      </w:r>
      <w:r>
        <w:rPr>
          <w:rStyle w:val="CharStyle32"/>
        </w:rPr>
        <w:t>щи</w:t>
      </w:r>
      <w:r>
        <w:rPr>
          <w:lang w:val="ru-RU" w:eastAsia="ru-RU" w:bidi="ru-RU"/>
          <w:sz w:val="24"/>
          <w:szCs w:val="24"/>
          <w:w w:val="100"/>
          <w:spacing w:val="0"/>
          <w:color w:val="000000"/>
          <w:position w:val="0"/>
        </w:rPr>
        <w:t>м средствам микроорганизмов, циркулирующих в медицинских организациях».</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Однако перечисленные выше нормативные документы не содержат обязательные к применению требований к отсутствию в составе того или иного вещества. В связи с чем невозможно подтвердить обоснованность включения указанного требования к составу дезинфицирующих средств.</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Также следует отметить, что в соответствии с пунктом 2.1 Приказа Минздрава РФ от 10.11.2002 № 344 «О государственной регистрации дезинфицирующих, дезинсекционных и дератизационных средств для применения в быту, в лечебно-профилактических учреждениях и на других объектах для обеспечения безопасности и здоровья людей» с 1 января 2003 года организовано проведение государственной регистрации дезинфицирующих, дезинсекционных и дератизационных средств для применения в быту, в лечебно-профилактических учреждениях и на других объектах для обеспечения безопасности и здоровья людей.</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Таким образом, все дезинфицирующие средства, прошедшие государственную регистрацию, отвечают нормативно установленным требованиям к качеству и безопасности.</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Согласно пункту 3.6.3 СП 3.5.1378-03 выбор дезинфицирующего средства, а также способа его применения определяются особенностями обеззараживаемого объекта, биологическими свойствами микроорганизма, что в совокупности должно обеспечить достижение дезинфекции.</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Следовательно, согласно санитарным правилам, определяющими характеристиками для дезинфицирующего средства являются область его применения.</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Все без исключения дезинфицирующие средства на территории Российской Федерации проходят исследования, предрегистрационные испытания, регистрируются, сертифицируются на основе требований Руководства 4.2.2643-10.3.5 «Дезинфектология».</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 связи с этим на территории Российской Федерации действует единая установленная классификация дезинфицирующих средств, указанная в пунктах 4.1., 4.2. Руководства, в соответствии с которой и проводятся соответствующие исследования, испытания и регистрация.</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При регистрации дезинфицирующих средств в инструкциях по их применению прописывается индивидуальный рецептурный состав средства, на основе которого уже были произведены все необходимые исследования и испытания.</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С учетом изложенного, описание объекта закупки на основании инструкции применения конкретного дезинфицирующего средства даже с учетом указания характеристик с использованием слов «не более», «не менее» не является надлежащим исполнением требований статьи 33 Закона о контрактной системе. Поскольку по смыслу данной нормы описание объекта закупки должно быть продиктовано потребностями заказчика, а также исключать возможность необоснованного ограничения количества потенциальных участников закупки путем установления в документации о закупке таких требований, удовлетворить которые может л</w:t>
      </w:r>
      <w:r>
        <w:rPr>
          <w:rStyle w:val="CharStyle32"/>
        </w:rPr>
        <w:t>ишь</w:t>
      </w:r>
      <w:r>
        <w:rPr>
          <w:lang w:val="ru-RU" w:eastAsia="ru-RU" w:bidi="ru-RU"/>
          <w:sz w:val="24"/>
          <w:szCs w:val="24"/>
          <w:w w:val="100"/>
          <w:spacing w:val="0"/>
          <w:color w:val="000000"/>
          <w:position w:val="0"/>
        </w:rPr>
        <w:t xml:space="preserve"> ограниченный круг лиц.</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 соответствии с пунктом 1.1. СанПиН 2.1.3.2630-10 санитарно-эпидемиологические правила и нормативы устанавливают санитарно-эпидемиологические требования к размещению, устройству, оборудованию, содержанию, противоэпидемическому режиму, профилактическим и противоэпидемическим мероприятиям, условиям труда персонала, организации питания пациентов и персонала организаций, осуществляющих медицинскую деятельность (далее - ООМД).</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Исходя из пункта 1.9 раздела II СанПиН 2.1.3.2630-10 в целях предупреждения возможного формирования резистентных к дезинфектантам штаммов микроорганизмов следует проводить мониторинг устойчивости госпитальных штаммов к применяемым дезинфицирующим средствам с последующей их ротацией (последовательная замена дезинфектанта из одной химической группы на дезинфектант из другой химической группы) при необходимости.</w:t>
      </w:r>
    </w:p>
    <w:p>
      <w:pPr>
        <w:pStyle w:val="Style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Таким образом, заказчик вправе при описании дезинфицирующего средства указать на его химическую группу, в том числе посредством указания на действующие вещества с учетом потребности заказчика в целях ротации дезинфектантов.</w:t>
      </w:r>
    </w:p>
    <w:p>
      <w:pPr>
        <w:pStyle w:val="Style9"/>
        <w:widowControl w:val="0"/>
        <w:keepNext w:val="0"/>
        <w:keepLines w:val="0"/>
        <w:shd w:val="clear" w:color="auto" w:fill="auto"/>
        <w:bidi w:val="0"/>
        <w:jc w:val="both"/>
        <w:spacing w:before="0" w:after="240" w:line="298" w:lineRule="exact"/>
        <w:ind w:left="20" w:right="20" w:firstLine="560"/>
      </w:pPr>
      <w:r>
        <w:rPr>
          <w:lang w:val="ru-RU" w:eastAsia="ru-RU" w:bidi="ru-RU"/>
          <w:sz w:val="24"/>
          <w:szCs w:val="24"/>
          <w:w w:val="100"/>
          <w:spacing w:val="0"/>
          <w:color w:val="000000"/>
          <w:position w:val="0"/>
        </w:rPr>
        <w:t>Однако описание конкретного состава дезинфицирующих средств, в том числе посредством перечисления на отсутствие в составе каких-либо веществ и других химических соединений, не позволит предложить к поставке товар, соответствующий потребностям заказчика, в том числе по назначению, области применения, но имеющий иной состав средства, либо процентное соотношение химических элементов, может привести к невозможности поставки товара, соответствующего потребности заказчика, что не соответствует пункту 1 части 1 статьи 33, пункту 1 части 2 статьи 42 Закона о контрактной системе.</w:t>
      </w:r>
    </w:p>
    <w:p>
      <w:pPr>
        <w:pStyle w:val="Style9"/>
        <w:numPr>
          <w:ilvl w:val="0"/>
          <w:numId w:val="3"/>
        </w:numPr>
        <w:tabs>
          <w:tab w:leader="none" w:pos="946" w:val="left"/>
        </w:tabs>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Согласно доводу заявителя пункт 2.1. поз</w:t>
      </w:r>
      <w:r>
        <w:rPr>
          <w:rStyle w:val="CharStyle32"/>
        </w:rPr>
        <w:t>ици</w:t>
      </w:r>
      <w:r>
        <w:rPr>
          <w:lang w:val="ru-RU" w:eastAsia="ru-RU" w:bidi="ru-RU"/>
          <w:sz w:val="24"/>
          <w:szCs w:val="24"/>
          <w:w w:val="100"/>
          <w:spacing w:val="0"/>
          <w:color w:val="000000"/>
          <w:position w:val="0"/>
        </w:rPr>
        <w:t>и 7 Описания объекта закупки (Приложение № 1 к извещению) заказчиком необоснованно выделена антимикробная добавка (добавка из группы гуанидинов), в то время как в позициях 3 и 4 описания объекта закупки заказчик установил «Антимикробная добавка, компоненты для ухода за кожей рук». По мнению заявителя, заказчиком не подтверждена безусловная потребность в добавке именно из группы гуанидинов.</w:t>
      </w:r>
    </w:p>
    <w:p>
      <w:pPr>
        <w:pStyle w:val="Style9"/>
        <w:widowControl w:val="0"/>
        <w:keepNext w:val="0"/>
        <w:keepLines w:val="0"/>
        <w:shd w:val="clear" w:color="auto" w:fill="auto"/>
        <w:bidi w:val="0"/>
        <w:jc w:val="both"/>
        <w:spacing w:before="0" w:after="240" w:line="302" w:lineRule="exact"/>
        <w:ind w:left="40" w:right="0" w:firstLine="560"/>
      </w:pPr>
      <w:r>
        <w:rPr>
          <w:lang w:val="ru-RU" w:eastAsia="ru-RU" w:bidi="ru-RU"/>
          <w:sz w:val="24"/>
          <w:szCs w:val="24"/>
          <w:w w:val="100"/>
          <w:spacing w:val="0"/>
          <w:color w:val="000000"/>
          <w:position w:val="0"/>
        </w:rPr>
        <w:t>Так, по позиции 7 описания объекта закупки указано следующее:</w:t>
      </w:r>
    </w:p>
    <w:tbl>
      <w:tblPr>
        <w:tblOverlap w:val="never"/>
        <w:tblLayout w:type="fixed"/>
        <w:jc w:val="center"/>
      </w:tblPr>
      <w:tblGrid>
        <w:gridCol w:w="624"/>
        <w:gridCol w:w="4699"/>
        <w:gridCol w:w="850"/>
        <w:gridCol w:w="4032"/>
      </w:tblGrid>
      <w:tr>
        <w:trPr>
          <w:trHeight w:val="408" w:hRule="exact"/>
        </w:trPr>
        <w:tc>
          <w:tcPr>
            <w:shd w:val="clear" w:color="auto" w:fill="FFFFFF"/>
            <w:tcBorders>
              <w:left w:val="single" w:sz="4"/>
              <w:top w:val="single" w:sz="4"/>
            </w:tcBorders>
            <w:vAlign w:val="bottom"/>
          </w:tcPr>
          <w:p>
            <w:pPr>
              <w:pStyle w:val="Style9"/>
              <w:framePr w:w="10205" w:wrap="notBeside" w:vAnchor="text" w:hAnchor="text" w:xAlign="center" w:y="1"/>
              <w:widowControl w:val="0"/>
              <w:keepNext w:val="0"/>
              <w:keepLines w:val="0"/>
              <w:shd w:val="clear" w:color="auto" w:fill="auto"/>
              <w:bidi w:val="0"/>
              <w:jc w:val="left"/>
              <w:spacing w:before="0" w:after="0" w:line="240" w:lineRule="exact"/>
              <w:ind w:left="60" w:right="0" w:firstLine="0"/>
            </w:pPr>
            <w:r>
              <w:rPr>
                <w:rStyle w:val="CharStyle39"/>
              </w:rPr>
              <w:t>2</w:t>
            </w:r>
          </w:p>
        </w:tc>
        <w:tc>
          <w:tcPr>
            <w:shd w:val="clear" w:color="auto" w:fill="FFFFFF"/>
            <w:tcBorders>
              <w:left w:val="single" w:sz="4"/>
              <w:top w:val="single" w:sz="4"/>
            </w:tcBorders>
            <w:vAlign w:val="bottom"/>
          </w:tcPr>
          <w:p>
            <w:pPr>
              <w:pStyle w:val="Style9"/>
              <w:framePr w:w="10205"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39"/>
              </w:rPr>
              <w:t>Действующие вещества:</w:t>
            </w:r>
          </w:p>
        </w:tc>
        <w:tc>
          <w:tcPr>
            <w:shd w:val="clear" w:color="auto" w:fill="FFFFFF"/>
            <w:tcBorders>
              <w:left w:val="single" w:sz="4"/>
              <w:top w:val="single" w:sz="4"/>
            </w:tcBorders>
            <w:vAlign w:val="top"/>
          </w:tcPr>
          <w:p>
            <w:pPr>
              <w:framePr w:w="1020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05" w:wrap="notBeside" w:vAnchor="text" w:hAnchor="text" w:xAlign="center" w:y="1"/>
              <w:widowControl w:val="0"/>
              <w:rPr>
                <w:sz w:val="10"/>
                <w:szCs w:val="10"/>
              </w:rPr>
            </w:pPr>
          </w:p>
        </w:tc>
      </w:tr>
      <w:tr>
        <w:trPr>
          <w:trHeight w:val="710" w:hRule="exact"/>
        </w:trPr>
        <w:tc>
          <w:tcPr>
            <w:shd w:val="clear" w:color="auto" w:fill="FFFFFF"/>
            <w:tcBorders>
              <w:left w:val="single" w:sz="4"/>
              <w:top w:val="single" w:sz="4"/>
              <w:bottom w:val="single" w:sz="4"/>
            </w:tcBorders>
            <w:vAlign w:val="center"/>
          </w:tcPr>
          <w:p>
            <w:pPr>
              <w:pStyle w:val="Style9"/>
              <w:framePr w:w="10205" w:wrap="notBeside" w:vAnchor="text" w:hAnchor="text" w:xAlign="center" w:y="1"/>
              <w:widowControl w:val="0"/>
              <w:keepNext w:val="0"/>
              <w:keepLines w:val="0"/>
              <w:shd w:val="clear" w:color="auto" w:fill="auto"/>
              <w:bidi w:val="0"/>
              <w:jc w:val="left"/>
              <w:spacing w:before="0" w:after="0" w:line="240" w:lineRule="exact"/>
              <w:ind w:left="60" w:right="0" w:firstLine="0"/>
            </w:pPr>
            <w:r>
              <w:rPr>
                <w:rStyle w:val="CharStyle39"/>
              </w:rPr>
              <w:t>2.1.</w:t>
            </w:r>
          </w:p>
        </w:tc>
        <w:tc>
          <w:tcPr>
            <w:shd w:val="clear" w:color="auto" w:fill="FFFFFF"/>
            <w:tcBorders>
              <w:left w:val="single" w:sz="4"/>
              <w:top w:val="single" w:sz="4"/>
              <w:bottom w:val="single" w:sz="4"/>
            </w:tcBorders>
            <w:vAlign w:val="bottom"/>
          </w:tcPr>
          <w:p>
            <w:pPr>
              <w:pStyle w:val="Style9"/>
              <w:framePr w:w="10205" w:wrap="notBeside" w:vAnchor="text" w:hAnchor="text" w:xAlign="center" w:y="1"/>
              <w:widowControl w:val="0"/>
              <w:keepNext w:val="0"/>
              <w:keepLines w:val="0"/>
              <w:shd w:val="clear" w:color="auto" w:fill="auto"/>
              <w:bidi w:val="0"/>
              <w:jc w:val="center"/>
              <w:spacing w:before="0" w:after="0" w:line="302" w:lineRule="exact"/>
              <w:ind w:left="0" w:right="0" w:firstLine="0"/>
            </w:pPr>
            <w:r>
              <w:rPr>
                <w:rStyle w:val="CharStyle39"/>
              </w:rPr>
              <w:t>Антимикробная добавка из группы гуанидинов</w:t>
            </w:r>
          </w:p>
        </w:tc>
        <w:tc>
          <w:tcPr>
            <w:shd w:val="clear" w:color="auto" w:fill="FFFFFF"/>
            <w:tcBorders>
              <w:left w:val="single" w:sz="4"/>
              <w:top w:val="single" w:sz="4"/>
              <w:bottom w:val="single" w:sz="4"/>
            </w:tcBorders>
            <w:vAlign w:val="top"/>
          </w:tcPr>
          <w:p>
            <w:pPr>
              <w:framePr w:w="10205"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pStyle w:val="Style9"/>
              <w:framePr w:w="10205"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39"/>
              </w:rPr>
              <w:t>не менее 0,1 %</w:t>
            </w:r>
          </w:p>
        </w:tc>
      </w:tr>
    </w:tbl>
    <w:p>
      <w:pPr>
        <w:widowControl w:val="0"/>
        <w:rPr>
          <w:sz w:val="2"/>
          <w:szCs w:val="2"/>
        </w:rPr>
      </w:pPr>
    </w:p>
    <w:p>
      <w:pPr>
        <w:pStyle w:val="Style9"/>
        <w:widowControl w:val="0"/>
        <w:keepNext w:val="0"/>
        <w:keepLines w:val="0"/>
        <w:shd w:val="clear" w:color="auto" w:fill="auto"/>
        <w:bidi w:val="0"/>
        <w:jc w:val="both"/>
        <w:spacing w:before="244" w:after="0" w:line="298" w:lineRule="exact"/>
        <w:ind w:left="40" w:right="40" w:firstLine="560"/>
      </w:pPr>
      <w:r>
        <w:rPr>
          <w:lang w:val="ru-RU" w:eastAsia="ru-RU" w:bidi="ru-RU"/>
          <w:sz w:val="24"/>
          <w:szCs w:val="24"/>
          <w:w w:val="100"/>
          <w:spacing w:val="0"/>
          <w:color w:val="000000"/>
          <w:position w:val="0"/>
        </w:rPr>
        <w:t>Представители заказчика на заседании Комиссии пояснили, что тип антимикробной добавки по позиции 7 Описания объекта закупки (Приложение № 1 к извещению) конкретизирован заказчиком исходя из своей потребности. Дезинфицирующее средство по данной позиции приобретается для отделений гинекологии, урологии, лор и челюстно</w:t>
        <w:softHyphen/>
        <w:t>лицевой хирургии в связи с более щад</w:t>
      </w:r>
      <w:r>
        <w:rPr>
          <w:rStyle w:val="CharStyle32"/>
        </w:rPr>
        <w:t>ящи</w:t>
      </w:r>
      <w:r>
        <w:rPr>
          <w:lang w:val="ru-RU" w:eastAsia="ru-RU" w:bidi="ru-RU"/>
          <w:sz w:val="24"/>
          <w:szCs w:val="24"/>
          <w:w w:val="100"/>
          <w:spacing w:val="0"/>
          <w:color w:val="000000"/>
          <w:position w:val="0"/>
        </w:rPr>
        <w:t>м воздействием на слизистые.</w:t>
      </w:r>
    </w:p>
    <w:p>
      <w:pPr>
        <w:pStyle w:val="Style9"/>
        <w:widowControl w:val="0"/>
        <w:keepNext w:val="0"/>
        <w:keepLines w:val="0"/>
        <w:shd w:val="clear" w:color="auto" w:fill="auto"/>
        <w:bidi w:val="0"/>
        <w:jc w:val="both"/>
        <w:spacing w:before="0" w:after="0" w:line="302" w:lineRule="exact"/>
        <w:ind w:left="40" w:right="40" w:firstLine="560"/>
      </w:pPr>
      <w:r>
        <w:rPr>
          <w:lang w:val="ru-RU" w:eastAsia="ru-RU" w:bidi="ru-RU"/>
          <w:sz w:val="24"/>
          <w:szCs w:val="24"/>
          <w:w w:val="100"/>
          <w:spacing w:val="0"/>
          <w:color w:val="000000"/>
          <w:position w:val="0"/>
        </w:rPr>
        <w:t>Неправомерность включения антимикробной добавки из группы гуанидинов в пункт 2.1. поз</w:t>
      </w:r>
      <w:r>
        <w:rPr>
          <w:rStyle w:val="CharStyle32"/>
        </w:rPr>
        <w:t>ици</w:t>
      </w:r>
      <w:r>
        <w:rPr>
          <w:lang w:val="ru-RU" w:eastAsia="ru-RU" w:bidi="ru-RU"/>
          <w:sz w:val="24"/>
          <w:szCs w:val="24"/>
          <w:w w:val="100"/>
          <w:spacing w:val="0"/>
          <w:color w:val="000000"/>
          <w:position w:val="0"/>
        </w:rPr>
        <w:t>и 7 Описания объекта закупки (Приложение № 1 к извещению) заявителем в ходе заседания Комиссии не доказана. Довод жалобы является необоснованным.</w:t>
      </w:r>
    </w:p>
    <w:p>
      <w:pPr>
        <w:pStyle w:val="Style9"/>
        <w:widowControl w:val="0"/>
        <w:keepNext w:val="0"/>
        <w:keepLines w:val="0"/>
        <w:shd w:val="clear" w:color="auto" w:fill="auto"/>
        <w:bidi w:val="0"/>
        <w:jc w:val="both"/>
        <w:spacing w:before="0" w:after="300" w:line="298" w:lineRule="exact"/>
        <w:ind w:left="40" w:right="40" w:firstLine="560"/>
      </w:pPr>
      <w:r>
        <w:rPr>
          <w:lang w:val="ru-RU" w:eastAsia="ru-RU" w:bidi="ru-RU"/>
          <w:sz w:val="24"/>
          <w:szCs w:val="24"/>
          <w:w w:val="100"/>
          <w:spacing w:val="0"/>
          <w:color w:val="000000"/>
          <w:position w:val="0"/>
        </w:rPr>
        <w:t>Однако Комиссия антимонопольного органа обращает внимание заказчика, что озвученное при рассмотрении жалобы обоснование предусмотренного требования к антимикробной добавке, в том числе к ее концентрации, несоответствующей письму Роспотребнадзора от 23.01.2020 № 02/770-2020-32, в нарушение части 6 статьи 23 Закона о контрактной системе, пункта 6 Правил использования КТРУ не нашло своего отражения в описании объекта закупки (Приложение № 1 к извещению), в котором заказчик ссылается л</w:t>
      </w:r>
      <w:r>
        <w:rPr>
          <w:rStyle w:val="CharStyle32"/>
        </w:rPr>
        <w:t>ишь</w:t>
      </w:r>
      <w:r>
        <w:rPr>
          <w:lang w:val="ru-RU" w:eastAsia="ru-RU" w:bidi="ru-RU"/>
          <w:sz w:val="24"/>
          <w:szCs w:val="24"/>
          <w:w w:val="100"/>
          <w:spacing w:val="0"/>
          <w:color w:val="000000"/>
          <w:position w:val="0"/>
        </w:rPr>
        <w:t xml:space="preserve"> на пункт 3478 СанПиН 3.3686-21 «Санитарно-эпидемиологические требования по профилактике инфекционных болезней», согласно которому «Медицинский персонал должен быть обеспечен в достаточном количестве эффективными средствами для мытья, обеззараживания рук; для снижения риска возникновения контактных дерматитов - средствами по уходу за кожей рук (кремы, лосьоны, бальзамы и другие). При выборе кожных антисептиков, моющих средств и средств для ухода за кожей рук следует учитывать индивидуальную переносимость медицинских работников».</w:t>
      </w:r>
    </w:p>
    <w:p>
      <w:pPr>
        <w:pStyle w:val="Style9"/>
        <w:widowControl w:val="0"/>
        <w:keepNext w:val="0"/>
        <w:keepLines w:val="0"/>
        <w:shd w:val="clear" w:color="auto" w:fill="auto"/>
        <w:bidi w:val="0"/>
        <w:jc w:val="both"/>
        <w:spacing w:before="0" w:after="300" w:line="298" w:lineRule="exact"/>
        <w:ind w:left="40" w:right="40" w:firstLine="560"/>
      </w:pPr>
      <w:r>
        <w:rPr>
          <w:lang w:val="ru-RU" w:eastAsia="ru-RU" w:bidi="ru-RU"/>
          <w:sz w:val="24"/>
          <w:szCs w:val="24"/>
          <w:w w:val="100"/>
          <w:spacing w:val="0"/>
          <w:color w:val="000000"/>
          <w:position w:val="0"/>
        </w:rPr>
        <w:t>В связи с допущенными нарушениями в действиях должностного лица заказчика усматриваются признаки состава административного правонарушения, предусмотренного главой 7 КоАП РФ.</w:t>
      </w:r>
    </w:p>
    <w:p>
      <w:pPr>
        <w:pStyle w:val="Style37"/>
        <w:widowControl w:val="0"/>
        <w:keepNext w:val="0"/>
        <w:keepLines w:val="0"/>
        <w:shd w:val="clear" w:color="auto" w:fill="auto"/>
        <w:bidi w:val="0"/>
        <w:spacing w:before="0" w:after="0"/>
        <w:ind w:left="40" w:right="40"/>
      </w:pPr>
      <w:r>
        <w:rPr>
          <w:lang w:val="ru-RU" w:eastAsia="ru-RU" w:bidi="ru-RU"/>
          <w:sz w:val="24"/>
          <w:szCs w:val="24"/>
          <w:w w:val="100"/>
          <w:spacing w:val="0"/>
          <w:color w:val="000000"/>
          <w:position w:val="0"/>
        </w:rPr>
        <w:t>Комиссия, руководствуясь статьями 99, 106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29"/>
        <w:widowControl w:val="0"/>
        <w:keepNext w:val="0"/>
        <w:keepLines w:val="0"/>
        <w:shd w:val="clear" w:color="auto" w:fill="auto"/>
        <w:bidi w:val="0"/>
        <w:jc w:val="left"/>
        <w:spacing w:before="0" w:after="256" w:line="240" w:lineRule="exact"/>
        <w:ind w:left="4640" w:right="0" w:firstLine="0"/>
      </w:pPr>
      <w:r>
        <w:rPr>
          <w:rStyle w:val="CharStyle40"/>
          <w:b/>
          <w:bCs/>
        </w:rPr>
        <w:t>РЕШИЛА:</w:t>
      </w:r>
    </w:p>
    <w:p>
      <w:pPr>
        <w:pStyle w:val="Style9"/>
        <w:numPr>
          <w:ilvl w:val="0"/>
          <w:numId w:val="9"/>
        </w:numPr>
        <w:widowControl w:val="0"/>
        <w:keepNext w:val="0"/>
        <w:keepLines w:val="0"/>
        <w:shd w:val="clear" w:color="auto" w:fill="auto"/>
        <w:bidi w:val="0"/>
        <w:jc w:val="both"/>
        <w:spacing w:before="0" w:after="0" w:line="298" w:lineRule="exact"/>
        <w:ind w:left="0" w:right="20" w:firstLine="580"/>
      </w:pPr>
      <w:r>
        <w:rPr>
          <w:lang w:val="ru-RU" w:eastAsia="ru-RU" w:bidi="ru-RU"/>
          <w:sz w:val="24"/>
          <w:szCs w:val="24"/>
          <w:w w:val="100"/>
          <w:spacing w:val="0"/>
          <w:color w:val="000000"/>
          <w:position w:val="0"/>
        </w:rPr>
        <w:t xml:space="preserve"> Признать доводы жалобы ООО «ЗЕРО-МЕД» на действия заказчика при проведении электронного аукциона на поставку дезинфицирующих средств (извещение № 0869200000222002934) обоснованными в части отсутствия обоснования требования к минимальной границе спиртов по пункту 2.1 позиций 3, 4 описания объекта закупки, в остальной части — необоснованными.</w:t>
      </w:r>
    </w:p>
    <w:p>
      <w:pPr>
        <w:pStyle w:val="Style9"/>
        <w:numPr>
          <w:ilvl w:val="0"/>
          <w:numId w:val="9"/>
        </w:numPr>
        <w:widowControl w:val="0"/>
        <w:keepNext w:val="0"/>
        <w:keepLines w:val="0"/>
        <w:shd w:val="clear" w:color="auto" w:fill="auto"/>
        <w:bidi w:val="0"/>
        <w:jc w:val="both"/>
        <w:spacing w:before="0" w:after="0" w:line="298" w:lineRule="exact"/>
        <w:ind w:left="0" w:right="20" w:firstLine="580"/>
      </w:pPr>
      <w:r>
        <w:rPr>
          <w:lang w:val="ru-RU" w:eastAsia="ru-RU" w:bidi="ru-RU"/>
          <w:sz w:val="24"/>
          <w:szCs w:val="24"/>
          <w:w w:val="100"/>
          <w:spacing w:val="0"/>
          <w:color w:val="000000"/>
          <w:position w:val="0"/>
        </w:rPr>
        <w:t xml:space="preserve"> Признать по итогам рассмотрения жалобы и проведения внеплановой проверки в действиях заказчика нарушение части 6 статьи 23, пункта 1 части 1 статьи 33, пункта 1 части 2 статьи 42 Закона о контрактной системе, пункта 6 Правил использования КТРУ.</w:t>
      </w:r>
    </w:p>
    <w:p>
      <w:pPr>
        <w:pStyle w:val="Style9"/>
        <w:numPr>
          <w:ilvl w:val="0"/>
          <w:numId w:val="9"/>
        </w:numPr>
        <w:widowControl w:val="0"/>
        <w:keepNext w:val="0"/>
        <w:keepLines w:val="0"/>
        <w:shd w:val="clear" w:color="auto" w:fill="auto"/>
        <w:bidi w:val="0"/>
        <w:jc w:val="both"/>
        <w:spacing w:before="0" w:after="0" w:line="298" w:lineRule="exact"/>
        <w:ind w:left="0" w:right="20" w:firstLine="580"/>
      </w:pPr>
      <w:r>
        <w:rPr>
          <w:lang w:val="ru-RU" w:eastAsia="ru-RU" w:bidi="ru-RU"/>
          <w:sz w:val="24"/>
          <w:szCs w:val="24"/>
          <w:w w:val="100"/>
          <w:spacing w:val="0"/>
          <w:color w:val="000000"/>
          <w:position w:val="0"/>
        </w:rPr>
        <w:t xml:space="preserve"> Предписание об устранении нарушений законодательства о контрактной системе не выдавать, поскольку выявленные нарушения не повлияли на результаты определения поставщика.</w:t>
      </w:r>
    </w:p>
    <w:p>
      <w:pPr>
        <w:pStyle w:val="Style9"/>
        <w:numPr>
          <w:ilvl w:val="0"/>
          <w:numId w:val="9"/>
        </w:numPr>
        <w:widowControl w:val="0"/>
        <w:keepNext w:val="0"/>
        <w:keepLines w:val="0"/>
        <w:shd w:val="clear" w:color="auto" w:fill="auto"/>
        <w:bidi w:val="0"/>
        <w:jc w:val="both"/>
        <w:spacing w:before="0" w:after="0" w:line="298" w:lineRule="exact"/>
        <w:ind w:left="0" w:right="20" w:firstLine="580"/>
      </w:pPr>
      <w:r>
        <w:rPr>
          <w:lang w:val="ru-RU" w:eastAsia="ru-RU" w:bidi="ru-RU"/>
          <w:sz w:val="24"/>
          <w:szCs w:val="24"/>
          <w:w w:val="100"/>
          <w:spacing w:val="0"/>
          <w:color w:val="000000"/>
          <w:position w:val="0"/>
        </w:rPr>
        <w:t xml:space="preserve"> Передать материалы дела должностному лицу Челябинского УФАС России для решения вопроса о привлечении виновных лиц к административной ответственности за нарушение законодательства о контрактной системе.</w:t>
      </w:r>
    </w:p>
    <w:p>
      <w:pPr>
        <w:pStyle w:val="Style9"/>
        <w:widowControl w:val="0"/>
        <w:keepNext w:val="0"/>
        <w:keepLines w:val="0"/>
        <w:shd w:val="clear" w:color="auto" w:fill="auto"/>
        <w:bidi w:val="0"/>
        <w:jc w:val="both"/>
        <w:spacing w:before="0" w:after="0" w:line="298" w:lineRule="exact"/>
        <w:ind w:left="0" w:right="20" w:firstLine="58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9"/>
        <w:tabs>
          <w:tab w:leader="none" w:pos="8938" w:val="right"/>
          <w:tab w:leader="none" w:pos="10166" w:val="right"/>
        </w:tabs>
        <w:widowControl w:val="0"/>
        <w:keepNext w:val="0"/>
        <w:keepLines w:val="0"/>
        <w:shd w:val="clear" w:color="auto" w:fill="auto"/>
        <w:bidi w:val="0"/>
        <w:jc w:val="both"/>
        <w:spacing w:before="0" w:after="0" w:line="600" w:lineRule="exact"/>
        <w:ind w:left="0" w:right="0" w:firstLine="0"/>
      </w:pPr>
      <w:r>
        <w:rPr>
          <w:lang w:val="ru-RU" w:eastAsia="ru-RU" w:bidi="ru-RU"/>
          <w:sz w:val="24"/>
          <w:szCs w:val="24"/>
          <w:w w:val="100"/>
          <w:spacing w:val="0"/>
          <w:color w:val="000000"/>
          <w:position w:val="0"/>
        </w:rPr>
        <w:t>Председатель Комиссии</w:t>
        <w:tab/>
        <w:t>В.А.</w:t>
        <w:tab/>
        <w:t>Ливончик</w:t>
      </w:r>
    </w:p>
    <w:p>
      <w:pPr>
        <w:pStyle w:val="Style9"/>
        <w:tabs>
          <w:tab w:leader="none" w:pos="10166" w:val="right"/>
          <w:tab w:leader="none" w:pos="10176" w:val="right"/>
        </w:tabs>
        <w:widowControl w:val="0"/>
        <w:keepNext w:val="0"/>
        <w:keepLines w:val="0"/>
        <w:shd w:val="clear" w:color="auto" w:fill="auto"/>
        <w:bidi w:val="0"/>
        <w:jc w:val="both"/>
        <w:spacing w:before="0" w:after="0" w:line="600" w:lineRule="exact"/>
        <w:ind w:left="0" w:right="0" w:firstLine="0"/>
      </w:pPr>
      <w:r>
        <w:rPr>
          <w:lang w:val="ru-RU" w:eastAsia="ru-RU" w:bidi="ru-RU"/>
          <w:sz w:val="24"/>
          <w:szCs w:val="24"/>
          <w:w w:val="100"/>
          <w:spacing w:val="0"/>
          <w:color w:val="000000"/>
          <w:position w:val="0"/>
        </w:rPr>
        <w:t>Члены Комиссии</w:t>
        <w:tab/>
        <w:t>ДА.</w:t>
        <w:tab/>
        <w:t>Воронкова</w:t>
      </w:r>
    </w:p>
    <w:p>
      <w:pPr>
        <w:pStyle w:val="Style9"/>
        <w:widowControl w:val="0"/>
        <w:keepNext w:val="0"/>
        <w:keepLines w:val="0"/>
        <w:shd w:val="clear" w:color="auto" w:fill="auto"/>
        <w:bidi w:val="0"/>
        <w:jc w:val="right"/>
        <w:spacing w:before="0" w:after="0" w:line="600" w:lineRule="exact"/>
        <w:ind w:left="0" w:right="20" w:firstLine="0"/>
      </w:pPr>
      <w:r>
        <w:rPr>
          <w:lang w:val="ru-RU" w:eastAsia="ru-RU" w:bidi="ru-RU"/>
          <w:sz w:val="24"/>
          <w:szCs w:val="24"/>
          <w:w w:val="100"/>
          <w:spacing w:val="0"/>
          <w:color w:val="000000"/>
          <w:position w:val="0"/>
        </w:rPr>
        <w:t>Д.Ф. Гареева</w:t>
      </w:r>
    </w:p>
    <w:sectPr>
      <w:pgSz w:w="16838" w:h="23810"/>
      <w:pgMar w:top="4570" w:left="3309" w:right="3285" w:bottom="489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166.75pt;margin-top:981.2pt;width:50.65pt;height:7.9pt;z-index:-188744063;mso-wrap-style:none;mso-wrap-distance-left:5.pt;mso-wrap-distance-right:5.pt;mso-position-horizontal-relative:page;mso-position-vertical-relative:page" wrapcoords="0 0" filled="f" stroked="f">
          <v:textbox style="mso-fit-shape-to-text:t" inset="0,0,0,0">
            <w:txbxContent>
              <w:p>
                <w:pPr>
                  <w:pStyle w:val="Style11"/>
                  <w:widowControl w:val="0"/>
                  <w:keepNext w:val="0"/>
                  <w:keepLines w:val="0"/>
                  <w:shd w:val="clear" w:color="auto" w:fill="auto"/>
                  <w:bidi w:val="0"/>
                  <w:jc w:val="left"/>
                  <w:spacing w:before="0" w:after="0" w:line="240" w:lineRule="auto"/>
                  <w:ind w:left="0" w:right="0" w:firstLine="0"/>
                </w:pPr>
                <w:r>
                  <w:rPr>
                    <w:rStyle w:val="CharStyle13"/>
                  </w:rPr>
                  <w:t>2022-8385</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186.9pt;margin-top:988.95pt;width:50.65pt;height:7.9pt;z-index:-188744062;mso-wrap-style:none;mso-wrap-distance-left:5.pt;mso-wrap-distance-right:5.pt;mso-position-horizontal-relative:page;mso-position-vertical-relative:page" wrapcoords="0 0" filled="f" stroked="f">
          <v:textbox style="mso-fit-shape-to-text:t" inset="0,0,0,0">
            <w:txbxContent>
              <w:p>
                <w:pPr>
                  <w:pStyle w:val="Style11"/>
                  <w:widowControl w:val="0"/>
                  <w:keepNext w:val="0"/>
                  <w:keepLines w:val="0"/>
                  <w:shd w:val="clear" w:color="auto" w:fill="auto"/>
                  <w:bidi w:val="0"/>
                  <w:jc w:val="left"/>
                  <w:spacing w:before="0" w:after="0" w:line="240" w:lineRule="auto"/>
                  <w:ind w:left="0" w:right="0" w:firstLine="0"/>
                </w:pPr>
                <w:r>
                  <w:rPr>
                    <w:rStyle w:val="CharStyle13"/>
                  </w:rPr>
                  <w:t>2022-8385</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419.pt;margin-top:201.4pt;width:5.3pt;height:7.9pt;z-index:-188744064;mso-wrap-style:none;mso-wrap-distance-left:5.pt;mso-wrap-distance-right:5.pt;mso-position-horizontal-relative:page;mso-position-vertical-relative:page" wrapcoords="0 0" filled="f" stroked="f">
          <v:textbox style="mso-fit-shape-to-text:t" inset="0,0,0,0">
            <w:txbxContent>
              <w:p>
                <w:pPr>
                  <w:pStyle w:val="Style11"/>
                  <w:widowControl w:val="0"/>
                  <w:keepNext w:val="0"/>
                  <w:keepLines w:val="0"/>
                  <w:shd w:val="clear" w:color="auto" w:fill="auto"/>
                  <w:bidi w:val="0"/>
                  <w:jc w:val="left"/>
                  <w:spacing w:before="0" w:after="0" w:line="240" w:lineRule="auto"/>
                  <w:ind w:left="0" w:right="0" w:firstLine="0"/>
                </w:pPr>
                <w:fldSimple w:instr=" PAGE \* MERGEFORMAT ">
                  <w:r>
                    <w:rPr>
                      <w:rStyle w:val="CharStyle13"/>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20"/>
      <w:numFmt w:val="decimal"/>
      <w:lvlText w:val="27.03.%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2020"/>
      <w:numFmt w:val="decimal"/>
      <w:lvlText w:val="27.03.%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7) Exact"/>
    <w:basedOn w:val="DefaultParagraphFont"/>
    <w:link w:val="Style3"/>
    <w:rPr>
      <w:b w:val="0"/>
      <w:bCs w:val="0"/>
      <w:i w:val="0"/>
      <w:iCs w:val="0"/>
      <w:u w:val="none"/>
      <w:strike w:val="0"/>
      <w:smallCaps w:val="0"/>
      <w:sz w:val="18"/>
      <w:szCs w:val="18"/>
      <w:rFonts w:ascii="Times New Roman" w:eastAsia="Times New Roman" w:hAnsi="Times New Roman" w:cs="Times New Roman"/>
    </w:rPr>
  </w:style>
  <w:style w:type="character" w:customStyle="1" w:styleId="CharStyle5">
    <w:name w:val="Основной текст (7) Exact"/>
    <w:basedOn w:val="CharStyle4"/>
    <w:rPr>
      <w:lang w:val="ru-RU" w:eastAsia="ru-RU" w:bidi="ru-RU"/>
      <w:w w:val="100"/>
      <w:spacing w:val="0"/>
      <w:color w:val="000000"/>
      <w:position w:val="0"/>
    </w:rPr>
  </w:style>
  <w:style w:type="character" w:customStyle="1" w:styleId="CharStyle7">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3"/>
    </w:rPr>
  </w:style>
  <w:style w:type="character" w:customStyle="1" w:styleId="CharStyle8">
    <w:name w:val="Основной текст (3) Exact"/>
    <w:basedOn w:val="CharStyle17"/>
    <w:rPr>
      <w:sz w:val="16"/>
      <w:szCs w:val="16"/>
      <w:spacing w:val="3"/>
    </w:rPr>
  </w:style>
  <w:style w:type="character" w:customStyle="1" w:styleId="CharStyle10">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
    </w:rPr>
  </w:style>
  <w:style w:type="character" w:customStyle="1" w:styleId="CharStyle12">
    <w:name w:val="Колонтитул_"/>
    <w:basedOn w:val="DefaultParagraphFont"/>
    <w:link w:val="Style11"/>
    <w:rPr>
      <w:b w:val="0"/>
      <w:bCs w:val="0"/>
      <w:i w:val="0"/>
      <w:iCs w:val="0"/>
      <w:u w:val="none"/>
      <w:strike w:val="0"/>
      <w:smallCaps w:val="0"/>
      <w:sz w:val="22"/>
      <w:szCs w:val="22"/>
      <w:rFonts w:ascii="Times New Roman" w:eastAsia="Times New Roman" w:hAnsi="Times New Roman" w:cs="Times New Roman"/>
    </w:rPr>
  </w:style>
  <w:style w:type="character" w:customStyle="1" w:styleId="CharStyle13">
    <w:name w:val="Колонтитул"/>
    <w:basedOn w:val="CharStyle12"/>
    <w:rPr>
      <w:lang w:val="ru-RU" w:eastAsia="ru-RU" w:bidi="ru-RU"/>
      <w:w w:val="100"/>
      <w:spacing w:val="0"/>
      <w:color w:val="000000"/>
      <w:position w:val="0"/>
    </w:rPr>
  </w:style>
  <w:style w:type="character" w:customStyle="1" w:styleId="CharStyle15">
    <w:name w:val="Основной текст (2)_"/>
    <w:basedOn w:val="DefaultParagraphFont"/>
    <w:link w:val="Style14"/>
    <w:rPr>
      <w:b/>
      <w:bCs/>
      <w:i w:val="0"/>
      <w:iCs w:val="0"/>
      <w:u w:val="none"/>
      <w:strike w:val="0"/>
      <w:smallCaps w:val="0"/>
      <w:sz w:val="17"/>
      <w:szCs w:val="17"/>
      <w:rFonts w:ascii="Times New Roman" w:eastAsia="Times New Roman" w:hAnsi="Times New Roman" w:cs="Times New Roman"/>
    </w:rPr>
  </w:style>
  <w:style w:type="character" w:customStyle="1" w:styleId="CharStyle16">
    <w:name w:val="Основной текст (2)"/>
    <w:basedOn w:val="CharStyle15"/>
    <w:rPr>
      <w:lang w:val="ru-RU" w:eastAsia="ru-RU" w:bidi="ru-RU"/>
      <w:w w:val="100"/>
      <w:spacing w:val="0"/>
      <w:color w:val="000000"/>
      <w:position w:val="0"/>
    </w:rPr>
  </w:style>
  <w:style w:type="character" w:customStyle="1" w:styleId="CharStyle17">
    <w:name w:val="Основной текст (3)_"/>
    <w:basedOn w:val="DefaultParagraphFont"/>
    <w:link w:val="Style6"/>
    <w:rPr>
      <w:b w:val="0"/>
      <w:bCs w:val="0"/>
      <w:i w:val="0"/>
      <w:iCs w:val="0"/>
      <w:u w:val="none"/>
      <w:strike w:val="0"/>
      <w:smallCaps w:val="0"/>
      <w:sz w:val="18"/>
      <w:szCs w:val="18"/>
      <w:rFonts w:ascii="Times New Roman" w:eastAsia="Times New Roman" w:hAnsi="Times New Roman" w:cs="Times New Roman"/>
    </w:rPr>
  </w:style>
  <w:style w:type="character" w:customStyle="1" w:styleId="CharStyle18">
    <w:name w:val="Основной текст (3)"/>
    <w:basedOn w:val="CharStyle17"/>
    <w:rPr>
      <w:lang w:val="ru-RU" w:eastAsia="ru-RU" w:bidi="ru-RU"/>
      <w:w w:val="100"/>
      <w:spacing w:val="0"/>
      <w:color w:val="000000"/>
      <w:position w:val="0"/>
    </w:rPr>
  </w:style>
  <w:style w:type="character" w:customStyle="1" w:styleId="CharStyle19">
    <w:name w:val="Основной текст (3)"/>
    <w:basedOn w:val="CharStyle17"/>
    <w:rPr>
      <w:lang w:val="en-US" w:eastAsia="en-US" w:bidi="en-US"/>
      <w:u w:val="single"/>
      <w:w w:val="100"/>
      <w:spacing w:val="0"/>
      <w:color w:val="000000"/>
      <w:position w:val="0"/>
    </w:rPr>
  </w:style>
  <w:style w:type="character" w:customStyle="1" w:styleId="CharStyle21">
    <w:name w:val="Основной текст (4)_"/>
    <w:basedOn w:val="DefaultParagraphFont"/>
    <w:link w:val="Style20"/>
    <w:rPr>
      <w:b w:val="0"/>
      <w:bCs w:val="0"/>
      <w:i w:val="0"/>
      <w:iCs w:val="0"/>
      <w:u w:val="none"/>
      <w:strike w:val="0"/>
      <w:smallCaps w:val="0"/>
      <w:sz w:val="9"/>
      <w:szCs w:val="9"/>
      <w:rFonts w:ascii="Microsoft Sans Serif" w:eastAsia="Microsoft Sans Serif" w:hAnsi="Microsoft Sans Serif" w:cs="Microsoft Sans Serif"/>
    </w:rPr>
  </w:style>
  <w:style w:type="character" w:customStyle="1" w:styleId="CharStyle22">
    <w:name w:val="Основной текст (4)"/>
    <w:basedOn w:val="CharStyle21"/>
    <w:rPr>
      <w:lang w:val="ru-RU" w:eastAsia="ru-RU" w:bidi="ru-RU"/>
      <w:w w:val="100"/>
      <w:spacing w:val="0"/>
      <w:color w:val="000000"/>
      <w:position w:val="0"/>
    </w:rPr>
  </w:style>
  <w:style w:type="character" w:customStyle="1" w:styleId="CharStyle24">
    <w:name w:val="Основной текст (5)_"/>
    <w:basedOn w:val="DefaultParagraphFont"/>
    <w:link w:val="Style23"/>
    <w:rPr>
      <w:b w:val="0"/>
      <w:bCs w:val="0"/>
      <w:i w:val="0"/>
      <w:iCs w:val="0"/>
      <w:u w:val="none"/>
      <w:strike w:val="0"/>
      <w:smallCaps w:val="0"/>
      <w:sz w:val="10"/>
      <w:szCs w:val="10"/>
      <w:rFonts w:ascii="Microsoft Sans Serif" w:eastAsia="Microsoft Sans Serif" w:hAnsi="Microsoft Sans Serif" w:cs="Microsoft Sans Serif"/>
    </w:rPr>
  </w:style>
  <w:style w:type="character" w:customStyle="1" w:styleId="CharStyle25">
    <w:name w:val="Основной текст (5)"/>
    <w:basedOn w:val="CharStyle24"/>
    <w:rPr>
      <w:lang w:val="ru-RU" w:eastAsia="ru-RU" w:bidi="ru-RU"/>
      <w:w w:val="100"/>
      <w:spacing w:val="0"/>
      <w:color w:val="000000"/>
      <w:position w:val="0"/>
    </w:rPr>
  </w:style>
  <w:style w:type="character" w:customStyle="1" w:styleId="CharStyle27">
    <w:name w:val="Основной текст (6)_"/>
    <w:basedOn w:val="DefaultParagraphFont"/>
    <w:link w:val="Style26"/>
    <w:rPr>
      <w:b w:val="0"/>
      <w:bCs w:val="0"/>
      <w:i w:val="0"/>
      <w:iCs w:val="0"/>
      <w:u w:val="none"/>
      <w:strike w:val="0"/>
      <w:smallCaps w:val="0"/>
      <w:sz w:val="26"/>
      <w:szCs w:val="26"/>
      <w:rFonts w:ascii="Times New Roman" w:eastAsia="Times New Roman" w:hAnsi="Times New Roman" w:cs="Times New Roman"/>
    </w:rPr>
  </w:style>
  <w:style w:type="character" w:customStyle="1" w:styleId="CharStyle28">
    <w:name w:val="Основной текст (6)"/>
    <w:basedOn w:val="CharStyle27"/>
    <w:rPr>
      <w:lang w:val="en-US" w:eastAsia="en-US" w:bidi="en-US"/>
      <w:u w:val="single"/>
      <w:w w:val="100"/>
      <w:spacing w:val="0"/>
      <w:color w:val="000000"/>
      <w:position w:val="0"/>
    </w:rPr>
  </w:style>
  <w:style w:type="character" w:customStyle="1" w:styleId="CharStyle30">
    <w:name w:val="Основной текст (8)_"/>
    <w:basedOn w:val="DefaultParagraphFont"/>
    <w:link w:val="Style29"/>
    <w:rPr>
      <w:b/>
      <w:bCs/>
      <w:i w:val="0"/>
      <w:iCs w:val="0"/>
      <w:u w:val="none"/>
      <w:strike w:val="0"/>
      <w:smallCaps w:val="0"/>
      <w:rFonts w:ascii="Times New Roman" w:eastAsia="Times New Roman" w:hAnsi="Times New Roman" w:cs="Times New Roman"/>
    </w:rPr>
  </w:style>
  <w:style w:type="character" w:customStyle="1" w:styleId="CharStyle31">
    <w:name w:val="Основной текст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32">
    <w:name w:val="Основной текст"/>
    <w:basedOn w:val="CharStyle31"/>
    <w:rPr>
      <w:lang w:val="ru-RU" w:eastAsia="ru-RU" w:bidi="ru-RU"/>
      <w:u w:val="single"/>
      <w:sz w:val="24"/>
      <w:szCs w:val="24"/>
      <w:w w:val="100"/>
      <w:spacing w:val="0"/>
      <w:color w:val="000000"/>
      <w:position w:val="0"/>
    </w:rPr>
  </w:style>
  <w:style w:type="character" w:customStyle="1" w:styleId="CharStyle34">
    <w:name w:val="Заголовок №1_"/>
    <w:basedOn w:val="DefaultParagraphFont"/>
    <w:link w:val="Style33"/>
    <w:rPr>
      <w:b/>
      <w:bCs/>
      <w:i w:val="0"/>
      <w:iCs w:val="0"/>
      <w:u w:val="none"/>
      <w:strike w:val="0"/>
      <w:smallCaps w:val="0"/>
      <w:rFonts w:ascii="Times New Roman" w:eastAsia="Times New Roman" w:hAnsi="Times New Roman" w:cs="Times New Roman"/>
    </w:rPr>
  </w:style>
  <w:style w:type="character" w:customStyle="1" w:styleId="CharStyle35">
    <w:name w:val="Основной текст"/>
    <w:basedOn w:val="CharStyle31"/>
    <w:rPr>
      <w:lang w:val="en-US" w:eastAsia="en-US" w:bidi="en-US"/>
      <w:u w:val="single"/>
      <w:sz w:val="24"/>
      <w:szCs w:val="24"/>
      <w:w w:val="100"/>
      <w:spacing w:val="0"/>
      <w:color w:val="000000"/>
      <w:position w:val="0"/>
    </w:rPr>
  </w:style>
  <w:style w:type="character" w:customStyle="1" w:styleId="CharStyle36">
    <w:name w:val="Основной текст"/>
    <w:basedOn w:val="CharStyle31"/>
    <w:rPr>
      <w:lang w:val="en-US" w:eastAsia="en-US" w:bidi="en-US"/>
      <w:sz w:val="24"/>
      <w:szCs w:val="24"/>
      <w:w w:val="100"/>
      <w:spacing w:val="0"/>
      <w:color w:val="000000"/>
      <w:position w:val="0"/>
    </w:rPr>
  </w:style>
  <w:style w:type="character" w:customStyle="1" w:styleId="CharStyle38">
    <w:name w:val="Основной текст (9)_"/>
    <w:basedOn w:val="DefaultParagraphFont"/>
    <w:link w:val="Style37"/>
    <w:rPr>
      <w:b w:val="0"/>
      <w:bCs w:val="0"/>
      <w:i/>
      <w:iCs/>
      <w:u w:val="none"/>
      <w:strike w:val="0"/>
      <w:smallCaps w:val="0"/>
      <w:rFonts w:ascii="Times New Roman" w:eastAsia="Times New Roman" w:hAnsi="Times New Roman" w:cs="Times New Roman"/>
    </w:rPr>
  </w:style>
  <w:style w:type="character" w:customStyle="1" w:styleId="CharStyle39">
    <w:name w:val="Основной текст"/>
    <w:basedOn w:val="CharStyle31"/>
    <w:rPr>
      <w:lang w:val="ru-RU" w:eastAsia="ru-RU" w:bidi="ru-RU"/>
      <w:sz w:val="24"/>
      <w:szCs w:val="24"/>
      <w:w w:val="100"/>
      <w:spacing w:val="0"/>
      <w:color w:val="000000"/>
      <w:position w:val="0"/>
    </w:rPr>
  </w:style>
  <w:style w:type="character" w:customStyle="1" w:styleId="CharStyle40">
    <w:name w:val="Основной текст (8) + Интервал 3 pt"/>
    <w:basedOn w:val="CharStyle30"/>
    <w:rPr>
      <w:lang w:val="ru-RU" w:eastAsia="ru-RU" w:bidi="ru-RU"/>
      <w:sz w:val="24"/>
      <w:szCs w:val="24"/>
      <w:w w:val="100"/>
      <w:spacing w:val="60"/>
      <w:color w:val="000000"/>
      <w:position w:val="0"/>
    </w:rPr>
  </w:style>
  <w:style w:type="paragraph" w:customStyle="1" w:styleId="Style3">
    <w:name w:val="Основной текст (7)"/>
    <w:basedOn w:val="Normal"/>
    <w:link w:val="CharStyle4"/>
    <w:pPr>
      <w:widowControl w:val="0"/>
      <w:shd w:val="clear" w:color="auto" w:fill="FFFFFF"/>
      <w:spacing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6">
    <w:name w:val="Основной текст (3)"/>
    <w:basedOn w:val="Normal"/>
    <w:link w:val="CharStyle17"/>
    <w:pPr>
      <w:widowControl w:val="0"/>
      <w:shd w:val="clear" w:color="auto" w:fill="FFFFFF"/>
      <w:spacing w:before="120" w:after="120" w:line="245"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9">
    <w:name w:val="Основной текст"/>
    <w:basedOn w:val="Normal"/>
    <w:link w:val="CharStyle31"/>
    <w:pPr>
      <w:widowControl w:val="0"/>
      <w:shd w:val="clear" w:color="auto" w:fill="FFFFFF"/>
      <w:spacing w:line="0" w:lineRule="exact"/>
      <w:ind w:hanging="220"/>
    </w:pPr>
    <w:rPr>
      <w:b w:val="0"/>
      <w:bCs w:val="0"/>
      <w:i w:val="0"/>
      <w:iCs w:val="0"/>
      <w:u w:val="none"/>
      <w:strike w:val="0"/>
      <w:smallCaps w:val="0"/>
      <w:rFonts w:ascii="Times New Roman" w:eastAsia="Times New Roman" w:hAnsi="Times New Roman" w:cs="Times New Roman"/>
    </w:rPr>
  </w:style>
  <w:style w:type="paragraph" w:customStyle="1" w:styleId="Style11">
    <w:name w:val="Колонтитул"/>
    <w:basedOn w:val="Normal"/>
    <w:link w:val="CharStyle12"/>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4">
    <w:name w:val="Основной текст (2)"/>
    <w:basedOn w:val="Normal"/>
    <w:link w:val="CharStyle15"/>
    <w:pPr>
      <w:widowControl w:val="0"/>
      <w:shd w:val="clear" w:color="auto" w:fill="FFFFFF"/>
      <w:jc w:val="center"/>
      <w:spacing w:after="120" w:line="240" w:lineRule="exact"/>
    </w:pPr>
    <w:rPr>
      <w:b/>
      <w:bCs/>
      <w:i w:val="0"/>
      <w:iCs w:val="0"/>
      <w:u w:val="none"/>
      <w:strike w:val="0"/>
      <w:smallCaps w:val="0"/>
      <w:sz w:val="17"/>
      <w:szCs w:val="17"/>
      <w:rFonts w:ascii="Times New Roman" w:eastAsia="Times New Roman" w:hAnsi="Times New Roman" w:cs="Times New Roman"/>
    </w:rPr>
  </w:style>
  <w:style w:type="paragraph" w:customStyle="1" w:styleId="Style20">
    <w:name w:val="Основной текст (4)"/>
    <w:basedOn w:val="Normal"/>
    <w:link w:val="CharStyle21"/>
    <w:pPr>
      <w:widowControl w:val="0"/>
      <w:shd w:val="clear" w:color="auto" w:fill="FFFFFF"/>
      <w:spacing w:before="120" w:line="0" w:lineRule="exact"/>
    </w:pPr>
    <w:rPr>
      <w:b w:val="0"/>
      <w:bCs w:val="0"/>
      <w:i w:val="0"/>
      <w:iCs w:val="0"/>
      <w:u w:val="none"/>
      <w:strike w:val="0"/>
      <w:smallCaps w:val="0"/>
      <w:sz w:val="9"/>
      <w:szCs w:val="9"/>
      <w:rFonts w:ascii="Microsoft Sans Serif" w:eastAsia="Microsoft Sans Serif" w:hAnsi="Microsoft Sans Serif" w:cs="Microsoft Sans Serif"/>
    </w:rPr>
  </w:style>
  <w:style w:type="paragraph" w:customStyle="1" w:styleId="Style23">
    <w:name w:val="Основной текст (5)"/>
    <w:basedOn w:val="Normal"/>
    <w:link w:val="CharStyle24"/>
    <w:pPr>
      <w:widowControl w:val="0"/>
      <w:shd w:val="clear" w:color="auto" w:fill="FFFFFF"/>
      <w:jc w:val="center"/>
      <w:spacing w:line="0" w:lineRule="exact"/>
    </w:pPr>
    <w:rPr>
      <w:b w:val="0"/>
      <w:bCs w:val="0"/>
      <w:i w:val="0"/>
      <w:iCs w:val="0"/>
      <w:u w:val="none"/>
      <w:strike w:val="0"/>
      <w:smallCaps w:val="0"/>
      <w:sz w:val="10"/>
      <w:szCs w:val="10"/>
      <w:rFonts w:ascii="Microsoft Sans Serif" w:eastAsia="Microsoft Sans Serif" w:hAnsi="Microsoft Sans Serif" w:cs="Microsoft Sans Serif"/>
    </w:rPr>
  </w:style>
  <w:style w:type="paragraph" w:customStyle="1" w:styleId="Style26">
    <w:name w:val="Основной текст (6)"/>
    <w:basedOn w:val="Normal"/>
    <w:link w:val="CharStyle27"/>
    <w:pPr>
      <w:widowControl w:val="0"/>
      <w:shd w:val="clear" w:color="auto" w:fill="FFFFFF"/>
      <w:spacing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9">
    <w:name w:val="Основной текст (8)"/>
    <w:basedOn w:val="Normal"/>
    <w:link w:val="CharStyle30"/>
    <w:pPr>
      <w:widowControl w:val="0"/>
      <w:shd w:val="clear" w:color="auto" w:fill="FFFFFF"/>
      <w:spacing w:line="0" w:lineRule="exact"/>
    </w:pPr>
    <w:rPr>
      <w:b/>
      <w:bCs/>
      <w:i w:val="0"/>
      <w:iCs w:val="0"/>
      <w:u w:val="none"/>
      <w:strike w:val="0"/>
      <w:smallCaps w:val="0"/>
      <w:rFonts w:ascii="Times New Roman" w:eastAsia="Times New Roman" w:hAnsi="Times New Roman" w:cs="Times New Roman"/>
    </w:rPr>
  </w:style>
  <w:style w:type="paragraph" w:customStyle="1" w:styleId="Style33">
    <w:name w:val="Заголовок №1"/>
    <w:basedOn w:val="Normal"/>
    <w:link w:val="CharStyle34"/>
    <w:pPr>
      <w:widowControl w:val="0"/>
      <w:shd w:val="clear" w:color="auto" w:fill="FFFFFF"/>
      <w:jc w:val="center"/>
      <w:outlineLvl w:val="0"/>
      <w:spacing w:before="240" w:after="360" w:line="0" w:lineRule="exact"/>
    </w:pPr>
    <w:rPr>
      <w:b/>
      <w:bCs/>
      <w:i w:val="0"/>
      <w:iCs w:val="0"/>
      <w:u w:val="none"/>
      <w:strike w:val="0"/>
      <w:smallCaps w:val="0"/>
      <w:rFonts w:ascii="Times New Roman" w:eastAsia="Times New Roman" w:hAnsi="Times New Roman" w:cs="Times New Roman"/>
    </w:rPr>
  </w:style>
  <w:style w:type="paragraph" w:customStyle="1" w:styleId="Style37">
    <w:name w:val="Основной текст (9)"/>
    <w:basedOn w:val="Normal"/>
    <w:link w:val="CharStyle38"/>
    <w:pPr>
      <w:widowControl w:val="0"/>
      <w:shd w:val="clear" w:color="auto" w:fill="FFFFFF"/>
      <w:jc w:val="both"/>
      <w:spacing w:after="240" w:line="298" w:lineRule="exact"/>
      <w:ind w:firstLine="56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2.png"/><Relationship Id="rId11" Type="http://schemas.openxmlformats.org/officeDocument/2006/relationships/image" Target="media/image2.png" TargetMode="External"/></Relationships>
</file>