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framePr w:h="1253" w:wrap="notBeside" w:vAnchor="text" w:hAnchor="text" w:xAlign="center" w:y="1"/>
        <w:widowControl w:val="0"/>
        <w:jc w:val="center"/>
        <w:rPr>
          <w:sz w:val="2"/>
          <w:szCs w:val="2"/>
        </w:rPr>
      </w:pP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26" type="#_x0000_t75" style="width:57pt;height:63pt;">
            <v:imagedata r:id="rId5" r:href="rId6"/>
          </v:shape>
        </w:pict>
      </w:r>
    </w:p>
    <w:p>
      <w:pPr>
        <w:pStyle w:val="Style3"/>
        <w:framePr w:h="1253" w:wrap="notBeside" w:vAnchor="text" w:hAnchor="text" w:xAlign="center" w:y="1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УПРАВЛЕНИЕ</w:t>
      </w:r>
    </w:p>
    <w:p>
      <w:pPr>
        <w:widowControl w:val="0"/>
        <w:rPr>
          <w:sz w:val="2"/>
          <w:szCs w:val="2"/>
        </w:rPr>
      </w:pPr>
    </w:p>
    <w:p>
      <w:pPr>
        <w:pStyle w:val="Style5"/>
        <w:widowControl w:val="0"/>
        <w:keepNext/>
        <w:keepLines/>
        <w:shd w:val="clear" w:color="auto" w:fill="auto"/>
        <w:bidi w:val="0"/>
        <w:spacing w:before="11" w:after="60"/>
        <w:ind w:left="40" w:right="0" w:firstLine="0"/>
      </w:pPr>
      <w:bookmarkStart w:id="0" w:name="bookmark0"/>
      <w:r>
        <w:rPr>
          <w:lang w:val="ru-RU" w:eastAsia="ru-RU" w:bidi="ru-RU"/>
          <w:w w:val="100"/>
          <w:spacing w:val="0"/>
          <w:color w:val="000000"/>
          <w:position w:val="0"/>
        </w:rPr>
        <w:t>Федеральной антимонопольной службы по Свердловской области РЕШЕНИЕ № 066/06/106-2186/2022</w:t>
      </w:r>
      <w:bookmarkEnd w:id="0"/>
    </w:p>
    <w:p>
      <w:pPr>
        <w:pStyle w:val="Style7"/>
        <w:tabs>
          <w:tab w:leader="none" w:pos="9644" w:val="right"/>
        </w:tabs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г. Екатеринбург</w:t>
        <w:tab/>
        <w:t>29.06.2022г.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Комиссия Управления Федеральной антимонопольной службы по Свердловской области по контролю в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сфере закупок (далее по тексту - Комиссия) в составе: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19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посредством использования интернет-видеоконференции, которая обеспечивает возможность участия сторон, в 15-30, в присутствии представителей: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заказчика в лице Администрация Ирбитского муниципального образования, — *</w:t>
      </w:r>
    </w:p>
    <w:p>
      <w:pPr>
        <w:pStyle w:val="Style7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 отсутствие представителя заявителя в лице ООО «ВЕЛЕЭКО», уведомленного надлежащим образом о месте и времени заседания Комиссии,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269" w:line="226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рассмотрев жалобу ООО «ВЕЛЕЭКО» (*) о нарушении заказчиком в лице Администрации Ирбитского муниципального образования (*), его комиссией при осуществлении электронного аукциона на поставку с монтажом системы водоочистки (извещение № 0162300000422000074), Федерального Закона от 05 апреля 2013 года № 44-ФЗ «О контрактной системе в сфере закупок товаров, работ, услуг для обеспечения государственных и муниципальных нужд» (далее по тексту - Закон о контрактной системе), и в результате осуществления внеплановой проверки в соответствии со ст. 99, 106 Закона о контрактной системе,</w:t>
      </w:r>
    </w:p>
    <w:p>
      <w:pPr>
        <w:pStyle w:val="Style5"/>
        <w:widowControl w:val="0"/>
        <w:keepNext/>
        <w:keepLines/>
        <w:shd w:val="clear" w:color="auto" w:fill="auto"/>
        <w:bidi w:val="0"/>
        <w:spacing w:before="0" w:after="161" w:line="190" w:lineRule="exact"/>
        <w:ind w:left="40" w:right="0" w:firstLine="0"/>
      </w:pPr>
      <w:bookmarkStart w:id="1" w:name="bookmark1"/>
      <w:r>
        <w:rPr>
          <w:lang w:val="ru-RU" w:eastAsia="ru-RU" w:bidi="ru-RU"/>
          <w:w w:val="100"/>
          <w:spacing w:val="0"/>
          <w:color w:val="000000"/>
          <w:position w:val="0"/>
        </w:rPr>
        <w:t>У С Т А Н О В И Л А:</w:t>
      </w:r>
      <w:bookmarkEnd w:id="1"/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Управление Федеральной антимонопольной службы по Свердловской области поступила жалоба ООО «ВЕЛЕЭКО» (вх. № 925-ЭП/22 от 24.06.2022г.) о нарушении заказчиком в лице Администрации Ирбитского муниципального образования, его комиссией при осуществлении электронного аукциона на поставку с монтажом системы водоочистки (извещение № 0162300000422000074), законодательство о контрактной системе в сфере закупок товаров, работ, услуг для обеспечения государственных и муниципальных нужд.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своей жалобе заявитель указал, что извещение составлено с нарушениями положений Закона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Представители заказчика с доводами жалобы не согласились, просили признать жалобу необоснованной.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Жалоба рассмотрена в порядке, предусмотренном статьей 106 Закона о контрактной системе. Проведя анализ представленных материалов на рассмотрение жалобы, Комиссия пришла к следующим выводам.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15.06.2022г. на официальном сайте опубликовано извещение о проведении электронного аукциона № 0162300000422000074 на поставку с монтажом системы водоочистки.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Начальная (максимальная) цена контракта составила 16 200 000, 00 рублей.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 первого довода жалобы следует, что заказчиком, по мнению заявителя, для целей проведения указанной закупочной процедуры выбрана технология, которая не является рекомендованной СП 31.13330.2012, ГОСТ 31952-2012 и ГОСТ Р 53491.1-2009 и не имеет положительного опыта применения на территории РФ.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имеющиеся доказательства, Комиссия приходит к следующим выводам.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Электронный аукцион начинается с размещения в единой информационной системе извещения об осуществлении закупки. Заявка на участие в закупке должна содержать информацию и документы,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"м"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"п" пункта 1,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подпунктами "а" </w:t>
      </w:r>
      <w:r>
        <w:rPr>
          <w:lang w:val="ru-RU" w:eastAsia="ru-RU" w:bidi="ru-RU"/>
          <w:w w:val="100"/>
          <w:spacing w:val="0"/>
          <w:color w:val="000000"/>
          <w:position w:val="0"/>
        </w:rPr>
        <w:t>-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"в" пункта 2,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пунктом 5 части 1 статьи 43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настоящего Федерального закона. Заявка также может содержать информацию и документы, предусмотренные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подпунктом "д" пункта 2 части 1 статьи 43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 (ч. 1 ст. 49 Закона о контрактной системе).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силу п. 1 ч. 2 ст. 42 Закона о контрактной системе извещение об осуществлении закупки, если иное не предусмотрено настоящим Федеральным законом, должно содержать следующие электронные документы:</w:t>
      </w:r>
    </w:p>
    <w:p>
      <w:pPr>
        <w:pStyle w:val="Style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описание объекта закупки в соответствии со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статьей 33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настоящего Федерального закона.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2 ч. 1 ст. 33 Закона о контрактной системе заказчик в случаях, предусмотренных настоящим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Федеральным законом, при описании объекта закупки должен руководствоваться следующими правилами:</w:t>
      </w:r>
    </w:p>
    <w:p>
      <w:pPr>
        <w:pStyle w:val="Style7"/>
        <w:numPr>
          <w:ilvl w:val="0"/>
          <w:numId w:val="3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1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использование при составлении описания объекта закупки показателей, требований, условных обозначений и терминологии, касающихся технических характеристик, функциональных характеристик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(потребительских свойств) товара, работы, услуги и качественных характеристик объекта закупки, которые предусмотрены техническими регламентами, принятыми в соответствии с законодательством Российской Федерации о техническом регулировании, документами, разрабатываемыми и применяемыми в национальной системе стандартизации, принятыми в соответствии с законодательством Российской Федерации о стандартизации, иных требований, связанных с определением соответствия поставляемого товара, выполняемой работы, оказываемой услуги потребностям заказчика. Если заказчиком при составлении описания объекта закупки не используются установленные в соответствии с законодательством Российской Федерации о техническом регулировании, законодательством Российской Федерации о стандартизации показатели, требования, условные обозначения и терминология, в таком описании должно содержаться обоснование необходимости использования других показателей, требований, условных обозначений и терминологии.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Комиссией установлено, что наименованием объекта закупки является </w:t>
      </w:r>
      <w:r>
        <w:rPr>
          <w:rStyle w:val="CharStyle12"/>
        </w:rPr>
        <w:t>«поставка с монтажом системы водоочистки»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(Описание объекта закупки, являющееся приложением к извещению).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Исходя из п. 1 Описания объекта закупки, являющегося приложением к извещению, заказчиком предъявлены следующие требования к поставляемому товару:</w:t>
      </w:r>
    </w:p>
    <w:p>
      <w:pPr>
        <w:pStyle w:val="Style13"/>
        <w:widowControl w:val="0"/>
        <w:keepNext w:val="0"/>
        <w:keepLines w:val="0"/>
        <w:shd w:val="clear" w:color="auto" w:fill="auto"/>
        <w:bidi w:val="0"/>
        <w:spacing w:before="0" w:after="0"/>
        <w:ind w:left="20" w:right="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«Система водоочистки должна иметь максимальную производительность по очищенной воде не менее 20,0 м3/час, показатели очищенной воды должны соответствовать СанПиН 1.2.3685-21. Собственный сток (сброс) загрязненной воды: не более 2,0 м3/сутки. Качество поставляемого товара должно соответствовать установленным в Российской Федерации стандартам, техническим условиям для данного вида товара и подтверждаться предоставляемыми Поставщиком сертификатами качества. Товар должен быть новый, не бывший в эксплуатации и соответствовать санитарно-эпидемиологическим требованиям. Невыполнение требования по качеству предусматривает возврат некачественного товара за счет поставщика».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п. 8 Описания объекта закупки, являющегося приложением к извещению, содержатся указания на документы, разрабатываемыми и применяемыми в национальной системе стандартизации, которым должен соответствовать результат выполненных работ.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ходе заседания Комиссии представители заказчика пояснили, что выбор именно данной технологии обусловлен следующим: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Свод Правил СП 31.13330.2012 «Водоснабжение. Наружные сети и сооружения» п.1 Область применения «Настоящий свод правил устанавливает требования, которые должны соблюдаться при проектировании вновь строящихся и реконструируемых систем наружного водоснабжения поселений и городских округов» и относится только к указанным в Области применения мероприятиям;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ГОСТ 31952-2012 «Устройства водоочистные. Общие требования к эффективности и методы ее определения» абзац 2 п.1 Область применения «Настоящий стандарт распространяется на водоочистные устройства, для которых суточный объем очищаемой воды не выше 5 м3/сут.», а согласно п. 1 Приложения к извещению «Описание объекта закупки»- Требования к поставляемому товару: Система водоочистки должна иметь максимальную производительность по очищенной воде не менее 20,0 м3/час;</w:t>
      </w:r>
    </w:p>
    <w:p>
      <w:pPr>
        <w:pStyle w:val="Style7"/>
        <w:numPr>
          <w:ilvl w:val="0"/>
          <w:numId w:val="5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ГОСТ Р 53491.1-2009 «Бассейны. Подготовка воды» п.1 Область применения «Настоящий стандарт распространяется на действующие, проектируемые, реконструируемые и строящиеся общественные бассейны с пресной водой всех видов и размеров как открытые, так и крытые, существующие в отдельном здании (сооружении) или в составе аквапарков, спортивных (СК), спортивно-оздоровительных (СОК) и физкультурно</w:t>
        <w:softHyphen/>
        <w:t>оздоровительных (ФОК) комплексов, вне зависимости от их ведомственной принадлежности и формы собственности», а у нас рассматривается закупка «Поставка с монтажом системы водоочистки» и к бассейнам отношения не имеет.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Заслушав указанные пояснения представителей заказчика, Комиссия пришла к выводу о признании указанного довода жалобы необоснованным, поскольку выбор использования конкретной технологии обусловлен, в первую очередь, потребностью заказчика, что не является нарушением положений Закона о контрактной системе.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второму доводу жалобы заявитель указывает, что извещение о проведении указанной закупочной процедуры содержит недостатки, а именно: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уточнена информация о необходимости химической промывки фильтра ультратонкой механической промывки и не предоставлены его полные характеристики.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уточнены требования к системе вентиляции. В системе используется, смертельно опасный для человека и техники, газ-озон, на который распространяются специальные требования (Озонаторные и другие производственные помещения, в которых возможен выход озона в окружающую среду, должны быть оборудованы газоанализаторами (газосигнализаторами) и системой вентиляции с учетом СанПиН 2.1.6.1032).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в полной мере уточнены свойства фильтрующей загрузки.</w:t>
      </w:r>
    </w:p>
    <w:p>
      <w:pPr>
        <w:pStyle w:val="Style7"/>
        <w:numPr>
          <w:ilvl w:val="0"/>
          <w:numId w:val="7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в полной мере указаны характеристики насосных агрегатов, не указаны типы насосов.</w:t>
      </w:r>
    </w:p>
    <w:p>
      <w:pPr>
        <w:pStyle w:val="Style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указаны запрашиваемые характеристики: - Снеговая нагрузка, Ветровая нагрузка, Данные о максимальных и минимальных температурах использования.</w:t>
      </w:r>
    </w:p>
    <w:p>
      <w:pPr>
        <w:pStyle w:val="Style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получен конкретный ответ о применяемом способе передачи данных.</w:t>
      </w:r>
    </w:p>
    <w:p>
      <w:pPr>
        <w:pStyle w:val="Style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получен конкретный ответ на запрос о материале и конструкции резервуара.</w:t>
      </w:r>
    </w:p>
    <w:p>
      <w:pPr>
        <w:pStyle w:val="Style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26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приведена информация о грунте и грунтовых водах. Не предоставлена информация для расчета нагрузок.</w:t>
      </w:r>
    </w:p>
    <w:p>
      <w:pPr>
        <w:pStyle w:val="Style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Заказчиком установлено ограничение на объем сточных вод в 2 м</w:t>
      </w:r>
      <w:r>
        <w:rPr>
          <w:lang w:val="ru-RU" w:eastAsia="ru-RU" w:bidi="ru-RU"/>
          <w:vertAlign w:val="superscript"/>
          <w:w w:val="100"/>
          <w:spacing w:val="0"/>
          <w:color w:val="000000"/>
          <w:position w:val="0"/>
        </w:rPr>
        <w:t>3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исходя из возможностей их вывоза, что ограничивает технологический процесс.</w:t>
      </w:r>
    </w:p>
    <w:p>
      <w:pPr>
        <w:pStyle w:val="Style7"/>
        <w:numPr>
          <w:ilvl w:val="0"/>
          <w:numId w:val="9"/>
        </w:numPr>
        <w:widowControl w:val="0"/>
        <w:keepNext w:val="0"/>
        <w:keepLines w:val="0"/>
        <w:shd w:val="clear" w:color="auto" w:fill="auto"/>
        <w:bidi w:val="0"/>
        <w:spacing w:before="0" w:after="0" w:line="23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Не перечислено все технологическое оборудование, которое входит в энергопотребление 1.3 кВт.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представители заказчика, не соглашаясь с указанными заявлениями общества, пояснили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5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следующее:</w:t>
      </w:r>
    </w:p>
    <w:p>
      <w:pPr>
        <w:pStyle w:val="Style7"/>
        <w:numPr>
          <w:ilvl w:val="0"/>
          <w:numId w:val="11"/>
        </w:numPr>
        <w:tabs>
          <w:tab w:leader="none" w:pos="1406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«Фильтр ультратонкой механической очистки» - данная модель работает на механической очистке. Все необходимые характеристики указаны в приложении к извещению «Описание объекта закупки»;</w:t>
      </w:r>
    </w:p>
    <w:p>
      <w:pPr>
        <w:pStyle w:val="Style7"/>
        <w:numPr>
          <w:ilvl w:val="0"/>
          <w:numId w:val="11"/>
        </w:numPr>
        <w:tabs>
          <w:tab w:leader="none" w:pos="1406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обосновании указанного довода заявитель приводит ссылку на утративший силу СанПиН 2.1.6.1032, ввиду чего указанный довод не может быть принят во внимание;</w:t>
      </w:r>
    </w:p>
    <w:p>
      <w:pPr>
        <w:pStyle w:val="Style7"/>
        <w:numPr>
          <w:ilvl w:val="0"/>
          <w:numId w:val="11"/>
        </w:numPr>
        <w:tabs>
          <w:tab w:leader="none" w:pos="1406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Засыпка фильтрующего материала должна быть катионообменная, которая будет работать не менее 3 лет без регенерации солевым раствором, данная информация указана в приложении к извещению «Описание объекта закупки»;</w:t>
      </w:r>
    </w:p>
    <w:p>
      <w:pPr>
        <w:pStyle w:val="Style7"/>
        <w:numPr>
          <w:ilvl w:val="0"/>
          <w:numId w:val="11"/>
        </w:numPr>
        <w:tabs>
          <w:tab w:leader="none" w:pos="1406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Основные характеристики автоматической станции водоснабжения указаны в п.1.7 приложения к извещению «Описание объекта закупки» и указанная мощность оборудования, высота подъема должны обеспечить подачу требуемого объема чистой воды из подземного резервуара;</w:t>
      </w:r>
    </w:p>
    <w:p>
      <w:pPr>
        <w:pStyle w:val="Style7"/>
        <w:numPr>
          <w:ilvl w:val="0"/>
          <w:numId w:val="11"/>
        </w:numPr>
        <w:tabs>
          <w:tab w:leader="none" w:pos="1406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Данные о температурном режиме использования модульного здания соответствуют температурному режиму климатической зоны места установки модульного здания. Указанная толщина утеплителя модульного здания и обогреватели обеспечат необходимый температурный режим внутри модульного здания. Указанные металлические конструкции и материал модульного здания обеспечат необходимую защиту от снеговой и ветровой нагрузки, характерной для климатической зоны установки модульного здания. Место установки товара указано в извещении;</w:t>
      </w:r>
    </w:p>
    <w:p>
      <w:pPr>
        <w:pStyle w:val="Style7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«Шкаф управления АСУ», способ передачи данных на удаленный пункт определяется подрядчиком по согласованию с заказчиком в зависимости от зоны покрытия сотовой связи;</w:t>
      </w:r>
    </w:p>
    <w:p>
      <w:pPr>
        <w:pStyle w:val="Style7"/>
        <w:numPr>
          <w:ilvl w:val="0"/>
          <w:numId w:val="11"/>
        </w:numPr>
        <w:tabs>
          <w:tab w:leader="none" w:pos="1406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приложении к извещению «Описание объекта закупки» указан материал резервуара объемом не менее 15 м3, предназначенный для хранения питьевой воды, а именно «материал- армированный стеклопластик или ПВХ пищевой», а для резервуара емкостью не менее 5 м3, предназначенный для хранения сточных вод, материал не указан, так как в данном случае данный параметр для заказчика не принципиален;</w:t>
      </w:r>
    </w:p>
    <w:p>
      <w:pPr>
        <w:pStyle w:val="Style7"/>
        <w:numPr>
          <w:ilvl w:val="0"/>
          <w:numId w:val="11"/>
        </w:numPr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Конструктив основания для установки модуля размещения системы водоподготовки подобран и отражен в п.10.1 приложения к извещению «Описание объекта закупки»;</w:t>
      </w:r>
    </w:p>
    <w:p>
      <w:pPr>
        <w:pStyle w:val="Style7"/>
        <w:numPr>
          <w:ilvl w:val="0"/>
          <w:numId w:val="11"/>
        </w:numPr>
        <w:tabs>
          <w:tab w:leader="none" w:pos="1406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Ограничение по сбросу воды установлены с технологической и логистической возможностью вывоза загрязненной воды автомобильным транспортом;</w:t>
      </w:r>
    </w:p>
    <w:p>
      <w:pPr>
        <w:pStyle w:val="Style7"/>
        <w:numPr>
          <w:ilvl w:val="0"/>
          <w:numId w:val="11"/>
        </w:numPr>
        <w:tabs>
          <w:tab w:leader="none" w:pos="1406" w:val="left"/>
        </w:tabs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Мощность автоматической станции водоснабжения не входит в «технологические нужды» модуля для размещения водоподготовки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п. 5 ч. 4 ст. 105 Закона о контрактной системе при проведении электронных процедур жалоба может быть подана в контрольные органы в сфере закупок, предусмотренные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частью 3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настоящей статьи, исключительно с использованием единой информационной системы путем формирования и размещения в этой системе следующей информации: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5) указание на обжалуемые действия (бездействие) субъекта (субъектов) контроля, доводы жалобы.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 (ч. 4 ст. 106 Закона о контрактной системе).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Вместе с тем, заявителем в жалобы не приведены нормы закона, которые, по его мнению, нарушаются оспариваемыми действиями заказчика, а также отсутствуют доказательства, подтверждающие обоснованность доводов жалобы.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0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данные представителем заказчика пояснения относительно потребности заказчика, учитывая, что заявитель явку своего представителя не обеспечил, указанный довод жалобы был признан Комиссией необоснованным.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spacing w:before="0" w:after="404" w:line="245" w:lineRule="exact"/>
        <w:ind w:left="20" w:right="2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вышеизложенного и руководствуясь административным регламентом, утвержденным приказом ФАС России от 19.11.2014 г. № 727/14, частью 8 статьи 106 Закона о контрактной системе, Комиссия,</w:t>
      </w:r>
    </w:p>
    <w:p>
      <w:pPr>
        <w:pStyle w:val="Style15"/>
        <w:widowControl w:val="0"/>
        <w:keepNext w:val="0"/>
        <w:keepLines w:val="0"/>
        <w:shd w:val="clear" w:color="auto" w:fill="auto"/>
        <w:bidi w:val="0"/>
        <w:spacing w:before="0" w:after="274" w:line="190" w:lineRule="exact"/>
        <w:ind w:left="0" w:right="0" w:firstLine="0"/>
      </w:pPr>
      <w:bookmarkStart w:id="2" w:name="bookmark2"/>
      <w:r>
        <w:rPr>
          <w:lang w:val="ru-RU" w:eastAsia="ru-RU" w:bidi="ru-RU"/>
          <w:w w:val="100"/>
          <w:spacing w:val="0"/>
          <w:color w:val="000000"/>
          <w:position w:val="0"/>
        </w:rPr>
        <w:t>Р Е Ш И Л А:</w:t>
      </w:r>
      <w:bookmarkEnd w:id="2"/>
    </w:p>
    <w:p>
      <w:pPr>
        <w:pStyle w:val="Style7"/>
        <w:numPr>
          <w:ilvl w:val="0"/>
          <w:numId w:val="13"/>
        </w:numPr>
        <w:tabs>
          <w:tab w:leader="none" w:pos="1406" w:val="lef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Жалобу ООО «ВЕЛЕЭКО» признать необоснованной.</w:t>
      </w:r>
    </w:p>
    <w:p>
      <w:pPr>
        <w:pStyle w:val="Style7"/>
        <w:numPr>
          <w:ilvl w:val="0"/>
          <w:numId w:val="13"/>
        </w:numPr>
        <w:tabs>
          <w:tab w:leader="none" w:pos="1406" w:val="left"/>
          <w:tab w:leader="none" w:pos="9654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действиях заказчика в лице Администрации Ирбитского</w:t>
        <w:tab/>
        <w:t>муниципального образования, его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комиссии нарушений Закона о контрактной системе не выявлено.</w:t>
      </w:r>
    </w:p>
    <w:p>
      <w:pPr>
        <w:pStyle w:val="Style7"/>
        <w:numPr>
          <w:ilvl w:val="0"/>
          <w:numId w:val="13"/>
        </w:numPr>
        <w:tabs>
          <w:tab w:leader="none" w:pos="1406" w:val="left"/>
          <w:tab w:leader="none" w:pos="9654" w:val="right"/>
        </w:tabs>
        <w:widowControl w:val="0"/>
        <w:keepNext w:val="0"/>
        <w:keepLines w:val="0"/>
        <w:shd w:val="clear" w:color="auto" w:fill="auto"/>
        <w:bidi w:val="0"/>
        <w:spacing w:before="0" w:after="0" w:line="240" w:lineRule="exact"/>
        <w:ind w:left="20" w:right="0" w:firstLine="72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Заказчику, его комиссии предписание об устранении</w:t>
        <w:tab/>
        <w:t>нарушений законодательства о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0" w:line="19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контрактной системе не выдавать.</w:t>
      </w:r>
    </w:p>
    <w:p>
      <w:pPr>
        <w:pStyle w:val="Style7"/>
        <w:widowControl w:val="0"/>
        <w:keepNext w:val="0"/>
        <w:keepLines w:val="0"/>
        <w:shd w:val="clear" w:color="auto" w:fill="auto"/>
        <w:bidi w:val="0"/>
        <w:jc w:val="left"/>
        <w:spacing w:before="0" w:after="441" w:line="221" w:lineRule="exact"/>
        <w:ind w:left="0" w:right="28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в судебном порядке в течение трех месяцев со дня его принятия.</w:t>
      </w:r>
    </w:p>
    <w:p>
      <w:pPr>
        <w:pStyle w:val="Style17"/>
        <w:widowControl w:val="0"/>
        <w:keepNext w:val="0"/>
        <w:keepLines w:val="0"/>
        <w:shd w:val="clear" w:color="auto" w:fill="auto"/>
        <w:bidi w:val="0"/>
        <w:jc w:val="left"/>
        <w:spacing w:before="0" w:after="0" w:line="120" w:lineRule="exact"/>
        <w:ind w:left="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*</w:t>
      </w:r>
    </w:p>
    <w:sectPr>
      <w:headerReference w:type="default" r:id="rId7"/>
      <w:titlePg/>
      <w:footnotePr>
        <w:pos w:val="pageBottom"/>
        <w:numFmt w:val="decimal"/>
        <w:numRestart w:val="continuous"/>
      </w:footnotePr>
      <w:type w:val="continuous"/>
      <w:pgSz w:w="11909" w:h="16838"/>
      <w:pgMar w:top="1497" w:left="1017" w:right="993" w:bottom="1060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p>
    <w:pPr>
      <w:widowControl w:val="0"/>
      <w:rPr>
        <w:sz w:val="2"/>
        <w:szCs w:val="2"/>
      </w:rPr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7" type="#_x0000_t202" style="position:absolute;margin-left:296.5pt;margin-top:53.3pt;width:4.3pt;height:6.7pt;z-index:-188744064;mso-wrap-style:none;mso-wrap-distance-left:5.pt;mso-wrap-distance-right:5.pt;mso-position-horizontal-relative:page;mso-position-vertical-relative:page" wrapcoords="0 0" filled="f" stroked="f">
          <v:textbox style="mso-fit-shape-to-text:t" inset="0,0,0,0">
            <w:txbxContent>
              <w:p>
                <w:pPr>
                  <w:pStyle w:val="Style9"/>
                  <w:widowControl w:val="0"/>
                  <w:keepNext w:val="0"/>
                  <w:keepLines w:val="0"/>
                  <w:shd w:val="clear" w:color="auto" w:fill="auto"/>
                  <w:bidi w:val="0"/>
                  <w:jc w:val="left"/>
                  <w:spacing w:before="0" w:after="0" w:line="240" w:lineRule="auto"/>
                  <w:ind w:left="0" w:right="0" w:firstLine="0"/>
                </w:pPr>
                <w:fldSimple w:instr=" PAGE \* MERGEFORMAT ">
                  <w:r>
                    <w:rPr>
                      <w:rStyle w:val="CharStyle11"/>
                    </w:rPr>
                    <w:t>#</w:t>
                  </w:r>
                </w:fldSimple>
              </w:p>
            </w:txbxContent>
          </v:textbox>
          <w10:wrap anchorx="page" anchory="page"/>
        </v:shape>
      </w:pic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—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2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4">
    <w:multiLevelType w:val="multilevel"/>
    <w:lvl w:ilvl="0">
      <w:start w:val="1"/>
      <w:numFmt w:val="decimal"/>
      <w:lvlText w:val="%1)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6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8">
    <w:multiLevelType w:val="multilevel"/>
    <w:lvl w:ilvl="0">
      <w:start w:val="6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0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abstractNum w:abstractNumId="12">
    <w:multiLevelType w:val="multilevel"/>
    <w:lvl w:ilvl="0">
      <w:start w:val="1"/>
      <w:numFmt w:val="decimal"/>
      <w:lvlText w:val="%1.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19"/>
        <w:szCs w:val="19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  <w:num w:numId="11">
    <w:abstractNumId w:val="10"/>
  </w:num>
  <w:num w:numId="13">
    <w:abstractNumId w:val="12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Подпись к картинке_"/>
    <w:basedOn w:val="DefaultParagraphFont"/>
    <w:link w:val="Style3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6">
    <w:name w:val="Заголовок №1_"/>
    <w:basedOn w:val="DefaultParagraphFont"/>
    <w:link w:val="Style5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8">
    <w:name w:val="Основной текст_"/>
    <w:basedOn w:val="DefaultParagraphFont"/>
    <w:link w:val="Style7"/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0">
    <w:name w:val="Колонтитул_"/>
    <w:basedOn w:val="DefaultParagraphFont"/>
    <w:link w:val="Style9"/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character" w:customStyle="1" w:styleId="CharStyle11">
    <w:name w:val="Колонтитул"/>
    <w:basedOn w:val="CharStyle10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Основной текст + Курсив"/>
    <w:basedOn w:val="CharStyle8"/>
    <w:rPr>
      <w:lang w:val="ru-RU" w:eastAsia="ru-RU" w:bidi="ru-RU"/>
      <w:i/>
      <w:iCs/>
      <w:w w:val="100"/>
      <w:spacing w:val="0"/>
      <w:color w:val="000000"/>
      <w:position w:val="0"/>
    </w:rPr>
  </w:style>
  <w:style w:type="character" w:customStyle="1" w:styleId="CharStyle14">
    <w:name w:val="Основной текст (2)_"/>
    <w:basedOn w:val="DefaultParagraphFont"/>
    <w:link w:val="Style13"/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6">
    <w:name w:val="Основной текст (3)_"/>
    <w:basedOn w:val="DefaultParagraphFont"/>
    <w:link w:val="Style15"/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character" w:customStyle="1" w:styleId="CharStyle18">
    <w:name w:val="Основной текст (4)_"/>
    <w:basedOn w:val="DefaultParagraphFont"/>
    <w:link w:val="Style17"/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  <w:style w:type="paragraph" w:customStyle="1" w:styleId="Style3">
    <w:name w:val="Подпись к картинке"/>
    <w:basedOn w:val="Normal"/>
    <w:link w:val="CharStyle4"/>
    <w:pPr>
      <w:widowControl w:val="0"/>
      <w:shd w:val="clear" w:color="auto" w:fill="FFFFFF"/>
      <w:spacing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5">
    <w:name w:val="Заголовок №1"/>
    <w:basedOn w:val="Normal"/>
    <w:link w:val="CharStyle6"/>
    <w:pPr>
      <w:widowControl w:val="0"/>
      <w:shd w:val="clear" w:color="auto" w:fill="FFFFFF"/>
      <w:jc w:val="center"/>
      <w:outlineLvl w:val="0"/>
      <w:spacing w:before="60" w:after="240" w:line="235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7">
    <w:name w:val="Основной текст"/>
    <w:basedOn w:val="Normal"/>
    <w:link w:val="CharStyle8"/>
    <w:pPr>
      <w:widowControl w:val="0"/>
      <w:shd w:val="clear" w:color="auto" w:fill="FFFFFF"/>
      <w:jc w:val="both"/>
      <w:spacing w:before="240" w:line="461" w:lineRule="exact"/>
    </w:pPr>
    <w:rPr>
      <w:b w:val="0"/>
      <w:bCs w:val="0"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9">
    <w:name w:val="Колонтитул"/>
    <w:basedOn w:val="Normal"/>
    <w:link w:val="CharStyle10"/>
    <w:pPr>
      <w:widowControl w:val="0"/>
      <w:shd w:val="clear" w:color="auto" w:fill="FFFFFF"/>
      <w:spacing w:line="0" w:lineRule="exact"/>
    </w:pPr>
    <w:rPr>
      <w:b w:val="0"/>
      <w:bCs w:val="0"/>
      <w:i w:val="0"/>
      <w:iCs w:val="0"/>
      <w:u w:val="none"/>
      <w:strike w:val="0"/>
      <w:smallCaps w:val="0"/>
      <w:sz w:val="18"/>
      <w:szCs w:val="18"/>
      <w:rFonts w:ascii="Times New Roman" w:eastAsia="Times New Roman" w:hAnsi="Times New Roman" w:cs="Times New Roman"/>
    </w:rPr>
  </w:style>
  <w:style w:type="paragraph" w:customStyle="1" w:styleId="Style13">
    <w:name w:val="Основной текст (2)"/>
    <w:basedOn w:val="Normal"/>
    <w:link w:val="CharStyle14"/>
    <w:pPr>
      <w:widowControl w:val="0"/>
      <w:shd w:val="clear" w:color="auto" w:fill="FFFFFF"/>
      <w:jc w:val="both"/>
      <w:spacing w:line="226" w:lineRule="exact"/>
      <w:ind w:firstLine="720"/>
    </w:pPr>
    <w:rPr>
      <w:b w:val="0"/>
      <w:bCs w:val="0"/>
      <w:i/>
      <w:iCs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5">
    <w:name w:val="Основной текст (3)"/>
    <w:basedOn w:val="Normal"/>
    <w:link w:val="CharStyle16"/>
    <w:pPr>
      <w:widowControl w:val="0"/>
      <w:shd w:val="clear" w:color="auto" w:fill="FFFFFF"/>
      <w:jc w:val="center"/>
      <w:spacing w:before="360" w:after="360" w:line="0" w:lineRule="exact"/>
    </w:pPr>
    <w:rPr>
      <w:b/>
      <w:bCs/>
      <w:i w:val="0"/>
      <w:iCs w:val="0"/>
      <w:u w:val="none"/>
      <w:strike w:val="0"/>
      <w:smallCaps w:val="0"/>
      <w:sz w:val="19"/>
      <w:szCs w:val="19"/>
      <w:rFonts w:ascii="Times New Roman" w:eastAsia="Times New Roman" w:hAnsi="Times New Roman" w:cs="Times New Roman"/>
    </w:rPr>
  </w:style>
  <w:style w:type="paragraph" w:customStyle="1" w:styleId="Style17">
    <w:name w:val="Основной текст (4)"/>
    <w:basedOn w:val="Normal"/>
    <w:link w:val="CharStyle18"/>
    <w:pPr>
      <w:widowControl w:val="0"/>
      <w:shd w:val="clear" w:color="auto" w:fill="FFFFFF"/>
      <w:spacing w:before="360" w:line="0" w:lineRule="exact"/>
    </w:pPr>
    <w:rPr>
      <w:b w:val="0"/>
      <w:bCs w:val="0"/>
      <w:i w:val="0"/>
      <w:iCs w:val="0"/>
      <w:u w:val="none"/>
      <w:strike w:val="0"/>
      <w:smallCaps w:val="0"/>
      <w:sz w:val="12"/>
      <w:szCs w:val="12"/>
      <w:rFonts w:ascii="Times New Roman" w:eastAsia="Times New Roman" w:hAnsi="Times New Roman" w:cs="Times New Roman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png"/><Relationship Id="rId6" Type="http://schemas.openxmlformats.org/officeDocument/2006/relationships/image" Target="media/image1.png" TargetMode="External"/><Relationship Id="rId7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/>
  <dc:subject/>
  <dc:creator>Жукова Анастасия Сергеевна</dc:creator>
  <cp:keywords/>
</cp:coreProperties>
</file>