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1253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57pt;height:63pt;">
            <v:imagedata r:id="rId5" r:href="rId6"/>
          </v:shape>
        </w:pict>
      </w:r>
    </w:p>
    <w:p>
      <w:pPr>
        <w:pStyle w:val="Style3"/>
        <w:framePr w:h="1253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</w:t>
      </w:r>
    </w:p>
    <w:p>
      <w:pPr>
        <w:widowControl w:val="0"/>
        <w:rPr>
          <w:sz w:val="2"/>
          <w:szCs w:val="2"/>
        </w:rPr>
      </w:pPr>
    </w:p>
    <w:p>
      <w:pPr>
        <w:pStyle w:val="Style5"/>
        <w:widowControl w:val="0"/>
        <w:keepNext/>
        <w:keepLines/>
        <w:shd w:val="clear" w:color="auto" w:fill="auto"/>
        <w:bidi w:val="0"/>
        <w:spacing w:before="11" w:after="60"/>
        <w:ind w:left="4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Свердловской области РЕШЕНИЕ № 066/06/106-2185/2022</w:t>
      </w:r>
      <w:bookmarkEnd w:id="0"/>
    </w:p>
    <w:p>
      <w:pPr>
        <w:pStyle w:val="Style7"/>
        <w:tabs>
          <w:tab w:leader="none" w:pos="9644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Екатеринбург</w:t>
        <w:tab/>
        <w:t>29.06.2022г.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Свердловской области по контролю в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сфере закупок (далее по тексту - Комиссия) в составе: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1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посредством использования интернет-видеоконференции, которая обеспечивает возможность участия сторон, в 15-30, в присутствии представителей: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заказчика в лице Администрация Ирбитского муниципального образования, — *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1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отсутствие представителя заявителя в лице ООО «ВЕЛЕЭКО», уведомленного надлежащим образом о месте и времени заседания Комиссии,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69" w:line="226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«ВЕЛЕЭКО» (*) о нарушении заказчиком в лице Администрации Ирбитского муниципального образования (*), его комиссией при осуществлении электронного аукциона на поставку с монтажом системы водоочистки (извещение № 0162300000422000075),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 - Закон о контрактной системе), и в результате осуществления внеплановой проверки в соответствии со ст. 99, 106 Закона о контрактной системе,</w:t>
      </w: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161" w:line="190" w:lineRule="exact"/>
        <w:ind w:left="4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У С Т А Н О В И Л А:</w:t>
      </w:r>
      <w:bookmarkEnd w:id="1"/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1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Управление Федеральной антимонопольной службы по Свердловской области поступила жалоба ООО «ВЕЛЕЭКО» (вх. № 926-ЭП/22 от 24.06.2022г.) о нарушении заказчиком в лице Администрации Ирбитского муниципального образования, его комиссией при осуществлении электронного аукциона на поставку с монтажом системы водоочистки (извещение № 0162300000422000075), законодательство 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своей жалобе заявитель указал, что извещение составлено с нарушениями положений Закона о контрактной системе.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Представители заказчика с доводами жалобы не согласились, просили признать жалобу необоснованной.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рассмотрена в порядке, предусмотренном статьей 106 Закона о контрактной системе. Проведя анализ представленных материалов на рассмотрение жалобы, Комиссия пришла к следующим выводам.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15.06.2022г. на официальном сайте опубликовано извещение о проведении электронного аукциона № 0162300000422000075 на поставку с монтажом системы водоочистки.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составила 5 400 000, 00 рублей.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первого довода жалобы следует, что заказчиком, по мнению заявителя, для целей проведения указанной закупочной процедуры выбрана технология, которая не является рекомендованной СП 31.13330.2012, ГОСТ 31952-2012 и ГОСТ Р 53491.1-2009 и не имеет положительного опыта применения на территории РФ.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Изучив имеющиеся доказательства, Комиссия приходит к следующим выводам.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подпунктами «м»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«п» пункта 1,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подпунктами «а»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«в» пункта 2,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пунктом 5 части 1 статьи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43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настоящего Федерального закона. Заявка также может содержать информацию и документы, предусмотренные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подпунктом «д» пункта 2 части 1 статьи 43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настоящего Федерального закона (ч. 1 ст. 49 Закона о контрактной системе).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п. 1 ч. 2 ст. 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55" w:line="200" w:lineRule="exact"/>
        <w:ind w:left="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5) описание объекта закупки в соответствии со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статьей 33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настоящего Федерального закона.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 2 ч. 1 ст. 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Комиссией установлено, что наименованием объекта закупки является </w:t>
      </w:r>
      <w:r>
        <w:rPr>
          <w:rStyle w:val="CharStyle14"/>
        </w:rPr>
        <w:t>«поставка с монтажом системы водоочистки»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(Описание объекта закупки, являющееся приложением к извещению).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п. 1 Описания объекта закупки, являющегося приложением к извещению, заказчиком предъявлены следующие требования к поставляемому товару: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«Система водоочистки должна иметь максимальную производительность по очищенной воде не менее 20,0 м3/час, показатели очищенной воды должны соответствовать СанПиН 1.2.3685-21. Собственный сток (сброс) загрязненной воды: не более 2,0 м3/сутки. Качество поставляемого товара должно соответствовать установленным в Российской Федерации стандартам, техническим условиям для данного вида товара и подтверждаться предоставляемыми Поставщиком сертификатами качества. Товар должен быть новый, не бывший в эксплуатации и соответствовать санитарно-эпидемиологическим требованиям. Невыполнение требования по качеству предусматривает возврат некачественного товара за счет поставщика».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п. 8 Описания объекта закупки, являющегося приложением к извещению, содержатся указания на документы, разрабатываемыми и применяемыми в национальной системе стандартизации, которым должен соответствовать результат выполненных работ.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ходе заседания Комиссии представители заказчика пояснили, что выбор именно данной технологии обусловлен следующим:</w:t>
      </w:r>
    </w:p>
    <w:p>
      <w:pPr>
        <w:pStyle w:val="Style7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Свод Правил СП 31.13330.2012 «Водоснабжение. Наружные сети и сооружения» п.1 Область применения «Настоящий свод правил устанавливает требования, которые должны соблюдаться при проектировании вновь строящихся и реконструируемых систем наружного водоснабжения поселений и городских округов» и относится только к указанным в Области применения мероприятиям;</w:t>
      </w:r>
    </w:p>
    <w:p>
      <w:pPr>
        <w:pStyle w:val="Style7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ГОСТ 31952-2012 «Устройства водоочистные. Общие требования к эффективности и методы ее определения» абзац 2 п.1 Область применения «Настоящий стандарт распространяется на водоочистные устройства, для которых суточный объем очищаемой воды не выше 5 м3/сут.», а согласно п. 1 Приложения к извещению «Описание объекта закупки»- Требования к поставляемому товару: Система водоочистки должна иметь максимальную производительность по очищенной воде не менее 20,0 м3/час;</w:t>
      </w:r>
    </w:p>
    <w:p>
      <w:pPr>
        <w:pStyle w:val="Style7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ГОСТ Р 53491.1-2009 «Бассейны. Подготовка воды» п.1 Область применения «Настоящий стандарт распространяется на действующие, проектируемые, реконструируемые и строящиеся общественные бассейны с пресной водой всех видов и размеров как открытые, так и крытые, существующие в отдельном здании (сооружении) или в составе аквапарков, спортивных (СК), спортивно-оздоровительных (СОК) и физкультурно</w:t>
        <w:softHyphen/>
        <w:t>оздоровительных (ФОК) комплексов, вне зависимости от их ведомственной принадлежности и формы собственности», а у нас рассматривается закупка «Поставка с монтажом системы водоочистки» и к бассейнам отношения не имеет.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Заслушав указанные пояснения представителей заказчика, Комиссия пришла к выводу о признании указанного довода жалобы необоснованным, поскольку выбор использования конкретной технологии обусловлен, в первую очередь, потребностью заказчика, что не является нарушением положений Закона о контрактной системе.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второму доводу жалобы заявитель указывает, что извещение о проведении указанной закупочной процедуры содержит недостатки, а именно:</w:t>
      </w:r>
    </w:p>
    <w:p>
      <w:pPr>
        <w:pStyle w:val="Style7"/>
        <w:numPr>
          <w:ilvl w:val="0"/>
          <w:numId w:val="5"/>
        </w:numPr>
        <w:tabs>
          <w:tab w:leader="none" w:pos="1408" w:val="left"/>
        </w:tabs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 уточнена информация о необходимости химической промывки фильтра ультратонкой механической промывки и не предоставлены его полные характеристики.</w:t>
      </w:r>
    </w:p>
    <w:p>
      <w:pPr>
        <w:pStyle w:val="Style7"/>
        <w:numPr>
          <w:ilvl w:val="0"/>
          <w:numId w:val="5"/>
        </w:numPr>
        <w:tabs>
          <w:tab w:leader="none" w:pos="1408" w:val="left"/>
        </w:tabs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 уточнены требования к системе вентиляции. В системе используется, смертельно опасный для человека и техники, газ-озон, на который распространяются специальные требования (Озонаторные и другие производственные помещения, в которых возможен выход озона в окружающую среду, должны быть оборудованы газоанализаторами (газосигнализаторами) и системой вентиляции с учетом СанПиН 2.1.6.1032).</w:t>
      </w:r>
    </w:p>
    <w:p>
      <w:pPr>
        <w:pStyle w:val="Style7"/>
        <w:numPr>
          <w:ilvl w:val="0"/>
          <w:numId w:val="5"/>
        </w:numPr>
        <w:tabs>
          <w:tab w:leader="none" w:pos="1408" w:val="left"/>
        </w:tabs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 в полной мере уточнены свойства фильтрующей загрузки</w:t>
      </w:r>
    </w:p>
    <w:p>
      <w:pPr>
        <w:pStyle w:val="Style7"/>
        <w:numPr>
          <w:ilvl w:val="0"/>
          <w:numId w:val="5"/>
        </w:numPr>
        <w:tabs>
          <w:tab w:leader="none" w:pos="1408" w:val="left"/>
        </w:tabs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 в полной мере указаны характеристики насосных агрегатов, не указаны типы насосов.</w:t>
      </w:r>
    </w:p>
    <w:p>
      <w:pPr>
        <w:pStyle w:val="Style7"/>
        <w:numPr>
          <w:ilvl w:val="0"/>
          <w:numId w:val="5"/>
        </w:numPr>
        <w:tabs>
          <w:tab w:leader="none" w:pos="1408" w:val="left"/>
        </w:tabs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 указаны запрашиваемые характеристики: - Снеговая нагрузка, Ветровая нагрузка, Данные о максимальных и минимальных температурах использования.</w:t>
      </w:r>
    </w:p>
    <w:p>
      <w:pPr>
        <w:pStyle w:val="Style7"/>
        <w:numPr>
          <w:ilvl w:val="0"/>
          <w:numId w:val="5"/>
        </w:numPr>
        <w:tabs>
          <w:tab w:leader="none" w:pos="1408" w:val="left"/>
        </w:tabs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 приведена информация о материале и конструкции резервуара.</w:t>
      </w:r>
    </w:p>
    <w:p>
      <w:pPr>
        <w:pStyle w:val="Style7"/>
        <w:numPr>
          <w:ilvl w:val="0"/>
          <w:numId w:val="5"/>
        </w:numPr>
        <w:tabs>
          <w:tab w:leader="none" w:pos="1363" w:val="left"/>
        </w:tabs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 приведена информация о грунте и грунтовых водах. Не предоставлена информация для расчета нагрузок.</w:t>
      </w:r>
    </w:p>
    <w:p>
      <w:pPr>
        <w:pStyle w:val="Style7"/>
        <w:numPr>
          <w:ilvl w:val="0"/>
          <w:numId w:val="5"/>
        </w:numPr>
        <w:tabs>
          <w:tab w:leader="none" w:pos="1363" w:val="left"/>
        </w:tabs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установлено ограничение на объем сточных вод в 2 м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3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исходя из возможностей их вывоза, что ограничивает технологический процесс.</w:t>
      </w:r>
    </w:p>
    <w:p>
      <w:pPr>
        <w:pStyle w:val="Style7"/>
        <w:numPr>
          <w:ilvl w:val="0"/>
          <w:numId w:val="5"/>
        </w:numPr>
        <w:tabs>
          <w:tab w:leader="none" w:pos="1363" w:val="left"/>
        </w:tabs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 перечислено все технологическое оборудование, которое входит в энергопотребление 1.3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кВт.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представители заказчика, не соглашаясь с указанными заявлениями общества, пояснили следующее:</w:t>
      </w:r>
    </w:p>
    <w:p>
      <w:pPr>
        <w:pStyle w:val="Style7"/>
        <w:numPr>
          <w:ilvl w:val="0"/>
          <w:numId w:val="7"/>
        </w:numPr>
        <w:tabs>
          <w:tab w:leader="none" w:pos="1363" w:val="left"/>
        </w:tabs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«Фильтр ультратонкой механической очистки» - данная модель работает на механической очистке. Все необходимые характеристики указаны в приложении к извещению «Описание объекта закупки»;</w:t>
      </w:r>
    </w:p>
    <w:p>
      <w:pPr>
        <w:pStyle w:val="Style7"/>
        <w:numPr>
          <w:ilvl w:val="0"/>
          <w:numId w:val="7"/>
        </w:numPr>
        <w:tabs>
          <w:tab w:leader="none" w:pos="1363" w:val="left"/>
        </w:tabs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обосновании указанного довода заявитель приводит ссылку на утративший силу СанПиН 2.1.6.1032, ввиду чего указанный довод не может быть принят во внимание;</w:t>
      </w:r>
    </w:p>
    <w:p>
      <w:pPr>
        <w:pStyle w:val="Style7"/>
        <w:numPr>
          <w:ilvl w:val="0"/>
          <w:numId w:val="7"/>
        </w:numPr>
        <w:tabs>
          <w:tab w:leader="none" w:pos="1363" w:val="left"/>
        </w:tabs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Засыпка фильтрующего материала должна быть катионообменная, которая будет работать не менее 3 лет без регенерации солевым раствором, данная информация указана в приложении к извещению «Описание объекта закупки»;</w:t>
      </w:r>
    </w:p>
    <w:p>
      <w:pPr>
        <w:pStyle w:val="Style7"/>
        <w:numPr>
          <w:ilvl w:val="0"/>
          <w:numId w:val="7"/>
        </w:numPr>
        <w:tabs>
          <w:tab w:leader="none" w:pos="1363" w:val="left"/>
        </w:tabs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Основные характеристики автоматической станции водоснабжения указаны в п.1.7 приложения к извещению «Описание объекта закупки» и указанная мощность оборудования, высота подъема должны обеспечить подачу требуемого объема чистой воды из подземного резервуара;</w:t>
      </w:r>
    </w:p>
    <w:p>
      <w:pPr>
        <w:pStyle w:val="Style7"/>
        <w:numPr>
          <w:ilvl w:val="0"/>
          <w:numId w:val="7"/>
        </w:numPr>
        <w:tabs>
          <w:tab w:leader="none" w:pos="1363" w:val="left"/>
        </w:tabs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Данные о температурном режиме использования модульного здания соответствуют температурному режиму климатической зоны места установки модульного здания. Указанная толщина утеплителя модульного здания и обогреватели обеспечат необходимый температурный режим внутри модульного здания. Указанные металлические конструкции и материал модульного здания обеспечат необходимую защиту от снеговой и ветровой нагрузки, характерной для климатической зоны установки модульного здания. Место установки товара указано в извещении;</w:t>
      </w:r>
    </w:p>
    <w:p>
      <w:pPr>
        <w:pStyle w:val="Style7"/>
        <w:numPr>
          <w:ilvl w:val="0"/>
          <w:numId w:val="7"/>
        </w:numPr>
        <w:tabs>
          <w:tab w:leader="none" w:pos="1363" w:val="left"/>
        </w:tabs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«Шкаф управления АСУ», способ передачи данных на удаленный пункт определяется подрядчиком по согласованию с заказчиком в зависимости от зоны покрытия сотовой связи;</w:t>
      </w:r>
    </w:p>
    <w:p>
      <w:pPr>
        <w:pStyle w:val="Style7"/>
        <w:numPr>
          <w:ilvl w:val="0"/>
          <w:numId w:val="7"/>
        </w:numPr>
        <w:tabs>
          <w:tab w:leader="none" w:pos="1363" w:val="left"/>
        </w:tabs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приложении к извещению «Описание объекта закупки» указан материал резервуара объемом не менее 15 м3, предназначенный для хранения питьевой воды, а именно «материал- армированный стеклопластик или ПВХ пищевой», а для резервуара емкостью не менее 5 м3, предназначенный для хранения сточных вод, материал не указан, так как в данном случае данный параметр для заказчика не принципиален;</w:t>
      </w:r>
    </w:p>
    <w:p>
      <w:pPr>
        <w:pStyle w:val="Style7"/>
        <w:numPr>
          <w:ilvl w:val="0"/>
          <w:numId w:val="7"/>
        </w:numPr>
        <w:tabs>
          <w:tab w:leader="none" w:pos="1363" w:val="left"/>
        </w:tabs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Конструктив основания для установки модуля размещения системы водоподготовки подобран и отражен в п.10.1 приложения к извещению «Описание объекта закупки»;</w:t>
      </w:r>
    </w:p>
    <w:p>
      <w:pPr>
        <w:pStyle w:val="Style7"/>
        <w:numPr>
          <w:ilvl w:val="0"/>
          <w:numId w:val="7"/>
        </w:numPr>
        <w:tabs>
          <w:tab w:leader="none" w:pos="1363" w:val="left"/>
        </w:tabs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Ограничение по сбросу воды установлены с технологической и логистической возможностью вывоза загрязненной воды автомобильным транспортом;</w:t>
      </w:r>
    </w:p>
    <w:p>
      <w:pPr>
        <w:pStyle w:val="Style7"/>
        <w:numPr>
          <w:ilvl w:val="0"/>
          <w:numId w:val="7"/>
        </w:numPr>
        <w:tabs>
          <w:tab w:leader="none" w:pos="1363" w:val="left"/>
        </w:tabs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Мощность автоматической станции водоснабжения не входит в «технологические нужды» модуля для размещения водоподготовки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 5 ч. 4 ст. 105 Закона о контрактной системе при проведении электронных процедур жалоба может быть подана в контрольные органы в сфере закупок, предусмотренные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частью 3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настоящей статьи, исключительно с использованием единой информационной системы путем формирования и размещения в этой системе следующей информации: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5) указание на обжалуемые действия (бездействие) субъекта (субъектов) контроля, доводы жалобы.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 (ч. 4 ст. 106 Закона о контрактной системе).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заявителем в жалобы не приведены нормы закона, которые, по его мнению, нарушаются оспариваемыми действиями заказчика, а также отсутствуют доказательства, подтверждающие обоснованность доводов жалобы.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Учитывая данные представителем заказчика пояснения относительно потребности заказчика, учитывая, что заявитель явку своего представителя не обеспечил, указанный довод жалобы был признан Комиссией необоснованным.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404" w:line="24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 и руководствуясь административным регламентом, утвержденным приказом ФАС России от 19.11.2014 г. № 727/14, частью 8 статьи 106 Закона о контрактной системе, Комиссия,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274" w:line="190" w:lineRule="exact"/>
        <w:ind w:left="20" w:right="0" w:firstLine="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2"/>
    </w:p>
    <w:p>
      <w:pPr>
        <w:pStyle w:val="Style7"/>
        <w:numPr>
          <w:ilvl w:val="0"/>
          <w:numId w:val="9"/>
        </w:numPr>
        <w:tabs>
          <w:tab w:leader="none" w:pos="1363" w:val="lef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Жалобу ООО «ВЕЛЕЭКО» признать необоснованной.</w:t>
      </w:r>
    </w:p>
    <w:p>
      <w:pPr>
        <w:pStyle w:val="Style7"/>
        <w:numPr>
          <w:ilvl w:val="0"/>
          <w:numId w:val="9"/>
        </w:numPr>
        <w:tabs>
          <w:tab w:leader="none" w:pos="1363" w:val="lef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действиях заказчика в лице Администрации Ирбитского муниципального образования, его комиссии нарушений Закона о контрактной системе не выявлено.</w:t>
      </w:r>
    </w:p>
    <w:p>
      <w:pPr>
        <w:pStyle w:val="Style7"/>
        <w:numPr>
          <w:ilvl w:val="0"/>
          <w:numId w:val="9"/>
        </w:numPr>
        <w:tabs>
          <w:tab w:leader="none" w:pos="1416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379" w:line="245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Заказчику, его комиссии предписание об устранении нарушений законодательства о контрактной системе не выдавать.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441" w:line="221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sectPr>
      <w:headerReference w:type="default" r:id="rId7"/>
      <w:titlePg/>
      <w:footnotePr>
        <w:pos w:val="pageBottom"/>
        <w:numFmt w:val="decimal"/>
        <w:numRestart w:val="continuous"/>
      </w:footnotePr>
      <w:type w:val="continuous"/>
      <w:pgSz w:w="11909" w:h="16838"/>
      <w:pgMar w:top="1453" w:left="1089" w:right="1065" w:bottom="99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6.6pt;margin-top:51.1pt;width:4.3pt;height:6.7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1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3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—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Подпись к картинке_"/>
    <w:basedOn w:val="DefaultParagraphFont"/>
    <w:link w:val="Style3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6">
    <w:name w:val="Заголовок №1_"/>
    <w:basedOn w:val="DefaultParagraphFont"/>
    <w:link w:val="Style5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0">
    <w:name w:val="Основной текст (2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0"/>
      <w:szCs w:val="20"/>
      <w:rFonts w:ascii="Calibri" w:eastAsia="Calibri" w:hAnsi="Calibri" w:cs="Calibri"/>
    </w:rPr>
  </w:style>
  <w:style w:type="character" w:customStyle="1" w:styleId="CharStyle12">
    <w:name w:val="Колонтитул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3">
    <w:name w:val="Колонтитул"/>
    <w:basedOn w:val="CharStyle1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4">
    <w:name w:val="Основной текст + Курсив"/>
    <w:basedOn w:val="CharStyle8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6">
    <w:name w:val="Основной текст (3)_"/>
    <w:basedOn w:val="DefaultParagraphFont"/>
    <w:link w:val="Style15"/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8">
    <w:name w:val="Основной текст (4)_"/>
    <w:basedOn w:val="DefaultParagraphFont"/>
    <w:link w:val="Style17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20">
    <w:name w:val="Основной текст (5)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paragraph" w:customStyle="1" w:styleId="Style3">
    <w:name w:val="Подпись к картинке"/>
    <w:basedOn w:val="Normal"/>
    <w:link w:val="CharStyle4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FFFFFF"/>
      <w:jc w:val="center"/>
      <w:outlineLvl w:val="0"/>
      <w:spacing w:before="60" w:after="240" w:line="235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jc w:val="both"/>
      <w:spacing w:before="240" w:line="461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9">
    <w:name w:val="Основной текст (2)"/>
    <w:basedOn w:val="Normal"/>
    <w:link w:val="CharStyle10"/>
    <w:pPr>
      <w:widowControl w:val="0"/>
      <w:shd w:val="clear" w:color="auto" w:fill="FFFFFF"/>
      <w:jc w:val="both"/>
      <w:spacing w:after="240" w:line="0" w:lineRule="exact"/>
      <w:ind w:firstLine="720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Calibri" w:eastAsia="Calibri" w:hAnsi="Calibri" w:cs="Calibri"/>
    </w:rPr>
  </w:style>
  <w:style w:type="paragraph" w:customStyle="1" w:styleId="Style11">
    <w:name w:val="Колонтитул"/>
    <w:basedOn w:val="Normal"/>
    <w:link w:val="CharStyle12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5">
    <w:name w:val="Основной текст (3)"/>
    <w:basedOn w:val="Normal"/>
    <w:link w:val="CharStyle16"/>
    <w:pPr>
      <w:widowControl w:val="0"/>
      <w:shd w:val="clear" w:color="auto" w:fill="FFFFFF"/>
      <w:jc w:val="both"/>
      <w:spacing w:line="226" w:lineRule="exact"/>
      <w:ind w:firstLine="720"/>
    </w:pPr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7">
    <w:name w:val="Основной текст (4)"/>
    <w:basedOn w:val="Normal"/>
    <w:link w:val="CharStyle18"/>
    <w:pPr>
      <w:widowControl w:val="0"/>
      <w:shd w:val="clear" w:color="auto" w:fill="FFFFFF"/>
      <w:jc w:val="center"/>
      <w:spacing w:before="360" w:after="360" w:line="0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9">
    <w:name w:val="Основной текст (5)"/>
    <w:basedOn w:val="Normal"/>
    <w:link w:val="CharStyle20"/>
    <w:pPr>
      <w:widowControl w:val="0"/>
      <w:shd w:val="clear" w:color="auto" w:fill="FFFFFF"/>
      <w:spacing w:before="360" w:line="0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Жукова Анастасия Сергеевна</dc:creator>
  <cp:keywords/>
</cp:coreProperties>
</file>