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105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9pt;height:55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7" w:after="0"/>
        <w:ind w:left="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86" w:left="1447" w:right="6919" w:bottom="60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169" w:wrap="around" w:vAnchor="text" w:hAnchor="margin" w:x="1857" w:y="223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6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0" w:line="25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3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Вощоград,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9"/>
        <w:tabs>
          <w:tab w:leader="none" w:pos="2057" w:val="center"/>
          <w:tab w:leader="none" w:pos="2870" w:val="right"/>
          <w:tab w:leader="none" w:pos="3580" w:val="right"/>
        </w:tabs>
        <w:widowControl w:val="0"/>
        <w:keepNext/>
        <w:keepLines/>
        <w:shd w:val="clear" w:color="auto" w:fill="auto"/>
        <w:bidi w:val="0"/>
        <w:spacing w:before="0" w:after="132" w:line="260" w:lineRule="exact"/>
        <w:ind w:left="120" w:right="0" w:firstLine="0"/>
      </w:pPr>
      <w:bookmarkStart w:id="0" w:name="bookmark0"/>
      <w:r>
        <w:rPr>
          <w:rStyle w:val="CharStyle11"/>
          <w:lang w:val="en-US" w:eastAsia="en-US" w:bidi="en-US"/>
          <w:i/>
          <w:iCs/>
        </w:rPr>
        <w:t xml:space="preserve">tyf. </w:t>
      </w:r>
      <w:r>
        <w:rPr>
          <w:rStyle w:val="CharStyle11"/>
          <w:i/>
          <w:iCs/>
        </w:rPr>
        <w:t>0 7</w:t>
      </w:r>
      <w:r>
        <w:rPr>
          <w:rStyle w:val="CharStyle12"/>
          <w:lang w:val="ru-RU" w:eastAsia="ru-RU" w:bidi="ru-RU"/>
          <w:i w:val="0"/>
          <w:iCs w:val="0"/>
        </w:rPr>
        <w:tab/>
      </w:r>
      <w:r>
        <w:rPr>
          <w:rStyle w:val="CharStyle13"/>
          <w:i w:val="0"/>
          <w:iCs w:val="0"/>
        </w:rPr>
        <w:t>№</w:t>
        <w:tab/>
      </w:r>
      <w:r>
        <w:rPr>
          <w:rStyle w:val="CharStyle11"/>
          <w:i/>
          <w:iCs/>
        </w:rPr>
        <w:t>0/-з!</w:t>
        <w:tab/>
      </w:r>
      <w:r>
        <w:rPr>
          <w:rStyle w:val="CharStyle14"/>
          <w:i/>
          <w:iCs/>
        </w:rPr>
        <w:t>Yf33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«Медикал лизинг-консалтинг» Ленинградский пр-т, д. 31 А, стр. 1,16 эт., пом. I ком. 1,16, Москва, 125284 </w:t>
      </w:r>
      <w:r>
        <w:fldChar w:fldCharType="begin"/>
      </w:r>
      <w:r>
        <w:rPr>
          <w:color w:val="000000"/>
        </w:rPr>
        <w:instrText> HYPERLINK "mailto:info@medcon.ru"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info@medcon.ru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1 (координатор):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«Среднеахтубинская центральная районная больница»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Больничная, д. 2, р.п. Средняя Ахтуба, Волгоградская обл., 404143 </w:t>
      </w:r>
      <w:r>
        <w:fldChar w:fldCharType="begin"/>
      </w:r>
      <w:r>
        <w:rPr>
          <w:color w:val="000000"/>
        </w:rPr>
        <w:instrText> HYPERLINK "mailto:ozcrb@yandex.ru"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ozcrb@yandex.ru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"mailto:crb_sredneahtub@volganet.ru"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crb_sredneahtub@volganet.ru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2: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ГБУЗ «Городская клиническая больница № 3» ул. Свердлова, д. 36, г. Волжский, Волгоградская обл., 404130 </w:t>
      </w:r>
      <w:r>
        <w:fldChar w:fldCharType="begin"/>
      </w:r>
      <w:r>
        <w:rPr>
          <w:color w:val="000000"/>
        </w:rPr>
        <w:instrText> HYPERLINK "mailto:gkb3_vlz@volganet.ru"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gkb3_vlz@volganet.ru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"mailto:torgi.volhosp3@yandex.ru"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torgi.volhosp3@yandex.ru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3: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«Даниловская центральная районная больница»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Северная, д. 31, р.п. Даниловка, Волгоградская обл., 403371 </w:t>
      </w:r>
      <w:r>
        <w:fldChar w:fldCharType="begin"/>
      </w:r>
      <w:r>
        <w:rPr>
          <w:color w:val="000000"/>
        </w:rPr>
        <w:instrText> HYPERLINK "mailto:crb_danilovka@volganet.ru"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crb_danilovka@volganet.ru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"mailto:zakupki@dancrb.ru"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zakupki@dancrb.ru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4: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ГБУЗ «Центральная районная больница Дубовского муниципального района» ул. Октябрьская, д. 17, г. Дубовка, Волгоградская обл., 404002 </w:t>
      </w:r>
      <w:r>
        <w:fldChar w:fldCharType="begin"/>
      </w:r>
      <w:r>
        <w:rPr>
          <w:color w:val="000000"/>
        </w:rPr>
        <w:instrText> HYPERLINK "mailto:crb_dubovka@volganet.ru"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crb_dubovka@volganet.ru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"mailto:ur.crb@yandex.ru"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ur.crb@yandex.ru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5: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Еланская центральная районная больница Волгоградской области ул. Мира, д. 1, р.п. Елань,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3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Волгоградская обл., 403732 </w:t>
      </w:r>
      <w:r>
        <w:fldChar w:fldCharType="begin"/>
      </w:r>
      <w:r>
        <w:rPr>
          <w:color w:val="000000"/>
        </w:rPr>
        <w:instrText> HYPERLINK "mailto:crb_elan@volganet.ru"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crb_elan@volganet.ru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6: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«Калачевская центральная районная больница»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20" w:firstLine="0"/>
        <w:sectPr>
          <w:type w:val="continuous"/>
          <w:pgSz w:w="11909" w:h="16838"/>
          <w:pgMar w:top="586" w:left="1227" w:right="1231" w:bottom="604" w:header="0" w:footer="3" w:gutter="0"/>
          <w:rtlGutter w:val="0"/>
          <w:cols w:num="2" w:space="720" w:equalWidth="0">
            <w:col w:w="3989" w:space="500"/>
            <w:col w:w="4961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Маяковского, д. 27, г. Калач-на-Дону, Волгоградская обл., 404503 </w:t>
      </w:r>
      <w:r>
        <w:fldChar w:fldCharType="begin"/>
      </w:r>
      <w:r>
        <w:rPr>
          <w:color w:val="000000"/>
        </w:rPr>
        <w:instrText> HYPERLINK "mailto:crb_kalatch@volganet.ru"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crb_kalatch@volganet.ru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7: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«Новоаннинская центральная районная больница»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37" w:line="274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Восточный, д. 88, г. Новоаннинский, Волгоградская обл., 403955 </w:t>
      </w:r>
      <w:r>
        <w:fldChar w:fldCharType="begin"/>
      </w:r>
      <w:r>
        <w:rPr>
          <w:color w:val="000000"/>
        </w:rPr>
        <w:instrText> HYPERLINK "mailto:crb_novoannensk@volganet.ru"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crb_novoannensk@volganet.ru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"mailto:novoantorg@yandex.ru"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novoantorg@yandex.ru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8: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ГУЗ «Клиническая больница № 4»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Ополченская, д. 40, Волгоград, 400065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fldChar w:fldCharType="begin"/>
      </w:r>
      <w:r>
        <w:rPr>
          <w:color w:val="000000"/>
        </w:rPr>
        <w:instrText> HYPERLINK "mailto:kb4@volganet.ru"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kb4@volganet.ru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9: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ГУЗ «Клиническая больница скорой медицинской помощи №7» ул. Казахская, д. 1, Волгоград, 400002 </w:t>
      </w:r>
      <w:r>
        <w:fldChar w:fldCharType="begin"/>
      </w:r>
      <w:r>
        <w:rPr>
          <w:color w:val="000000"/>
        </w:rPr>
        <w:instrText> HYPERLINK "mailto:zakupki@kbsmp7.ru"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zakupki@kbsmp7.ru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10: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«Волгоградский областной клинический кардиологический центр», Волгоград пр-т Университетский, д. 106, Волгоград, 400008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565" w:lineRule="exact"/>
        <w:ind w:left="20" w:right="220" w:firstLine="0"/>
      </w:pPr>
      <w:r>
        <w:fldChar w:fldCharType="begin"/>
      </w:r>
      <w:r>
        <w:rPr>
          <w:color w:val="000000"/>
        </w:rPr>
        <w:instrText> HYPERLINK "mailto:vokkc@volganet.ru"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vokkc@volganet.ru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Заказчик № 11: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«Центральная районная больница» Котовского муниципального района ул. Победы, д. 7, г. Котово,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Волгоградская обл., 403805 </w:t>
      </w:r>
      <w:r>
        <w:fldChar w:fldCharType="begin"/>
      </w:r>
      <w:r>
        <w:rPr>
          <w:color w:val="000000"/>
        </w:rPr>
        <w:instrText> HYPERLINK "mailto:crb_kotovo@volganet.ru"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crb_kotovo@volganet.ru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№ 12: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«Быковская центральная районная больница»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Волжская, д. 50, р.п. Быково, Волгоградская обл., 404062 </w:t>
      </w:r>
      <w:r>
        <w:fldChar w:fldCharType="begin"/>
      </w:r>
      <w:r>
        <w:rPr>
          <w:color w:val="000000"/>
        </w:rPr>
        <w:instrText> HYPERLINK "mailto:crb_bykovo@volganet.ru"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crb_bykovo@volganet.ru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ВО «Центр организации закупок»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Новороссийская, д. 15, Волгоград, 400138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«ЭТО»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20" w:firstLine="0"/>
        <w:sectPr>
          <w:pgSz w:w="11909" w:h="16838"/>
          <w:pgMar w:top="1529" w:left="3459" w:right="3434" w:bottom="10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301" w:line="30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034/06/106-638/2022 о нарушении законодательства о контрактной системе</w:t>
      </w:r>
    </w:p>
    <w:p>
      <w:pPr>
        <w:pStyle w:val="Style18"/>
        <w:tabs>
          <w:tab w:leader="none" w:pos="91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29 июня 2022 года</w:t>
        <w:tab/>
        <w:t>Волгоград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 ФАС России, Управление) по контролю за соблюдением законодательства о контрактной системе в составе: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Слащёва М.Л. - член Комиссии, главный государственный инспектор отдела контроля государственных и муниципальных закупок, недобросовестной конкуренции и рекламы;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Гейбатова А.Д.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Гуськова А.Н. - представителя ООО «Медикал лизинг-консалтинг» на основании доверенности от 27.07.2021 № 65;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Шалимова А.В. - представителя ГКУ ВО «Центр организации закупок» на основании доверенности от 09.07.2021 № 13,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«Медикал лизинг-консалтинг» вх. № 5771 от</w:t>
      </w:r>
    </w:p>
    <w:p>
      <w:pPr>
        <w:pStyle w:val="Style18"/>
        <w:numPr>
          <w:ilvl w:val="0"/>
          <w:numId w:val="1"/>
        </w:numPr>
        <w:tabs>
          <w:tab w:leader="none" w:pos="141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5" w:line="29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положения извещения об осуществлении закупки «Поставка лекарственного препарата для медицинского применения - Кеторолак (лот № 641/50195)» (номер извещения 0329200062222003419),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26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Волгоградское УФАС России поступила жалоба ООО «Медикал лизинг- консалтинг» вх. № 5771 от 23.06.2022 на положения извещения об осуществлении закупки «Поставка лекарственного препарата для медицинского применения - Кеторолак (лот№ 641/50195)» (номер извещения 0329200062222003419).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пришла к следующим выводам.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ЕИС) 15.06.2022 было размещено извещение об осуществлении закупки «Поставка лекарственного препарата для медицинского применения - Кеторолак (лот № 641/50195)» (номер извещения 0329200062222003419). Начальная (максимальная) цена контракта - 1 021 222,00 рублей.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доводу жалобы Заказчиками нарушены положения Закона о контрактной системе путем неправомерного установления требований к объекту закупки.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«а» п. 2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145, (далее - Правила) КТРУ используется заказчиками в целях обеспечения применения информации о товарах, работах, услугах в извещении об осуществлении закупки.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4 Правил заказчики обязаны применять информацию, включенную в позицию КТРУ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5 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Закона о контрактной системе, которые не предусмотрены в позиции КТРУ.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6 Правил в случае предоставления дополнительной информации, предусмотренной п.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5 ст.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6 постановления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установлено, что описание объекта закупки может содержать указание на объем наполнения первичной упаковки лекарственного препарата в случае, если не имеется иной возможности описать лекарственные препараты. При этом описание объекта закупки должно содержать обоснование необходимости указания таких характеристик.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вышеуказанные нормативные акты предусматривают возможность для Заказчика установить дополнительные характеристики объекта закупки с указанием обоснования установления таких характеристик.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является лекарственный препарат «Кеторолак», предусмотренный позицией КТРУ 21.20.10.221-000001-1-00034-0000000000000. Заказчиком указаны, как обязательные характеристики объекта закупки, так и дополнительная характеристика - «Объем ампулы/флакон». В извещение об осуществлении закупки включено обоснование установления дополнительной характеристики.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доказательств, подтверждающих, что установление рассматриваемых требований к объекта закупки является неправомерным и приводит к необоснованному ограничению количества участников закупки не представлено.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Заказчиками установлены требования к объекту закупки в соответствии с законодательством о контрактной системе. Следовательно, довод жалобы не нашел своего подтверждения и является необоснованным.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второму доводу жалобы Заказчиком нарушены положения Закона о контрактной системе путем указания ненадлежащего обоснования установления дополнительных характеристик объекта закупки.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в обоснование установления дополнительной характеристики «Объем ампулы/флакон» Заказчики указали следующее: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«Для оптимального проведения применяемых схем лечения необходим объем не более 1 мл, т.к. использование большего объема лекарственного препарата может повлечь за собой неблагоприятное воздействие на организм, а также перерасход лекарственного средства. Объем введенного раствора определяется в зависимости от показаний массы тела, состояния больного и сопутствующей терапии, а также от эффективности лечения с точки зрения общей симптоматики и лабораторных показаний. Доза и скорость введения строго индивидуальна.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оптимального проведения применяемых схем лечения необходим объем 2 мл, т.к использование меньшего объема лекарственного препарата оказывает недостаточное эффективное воздействие на организм. Объем введенного раствора определяется в зависимости от показаний массы тела, состояния больного и сопутствующей терапии, а также от эффективности лечения с точки зрения общей симптоматики и лабораторных показаний. Доза и скорость введения строго индивидуальна».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Данное обоснование не является надлежащим и не отражает необходимость установления дополнительной характеристики закупаемого товара.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Заказчики признаются нарушившими ч. 6 ст. 23, п. 1 ч. 1 ст. 33, ч. 5 ст. 33 Закона о контрактной системе. Следовательно, данный довод жалобы нашёл свое подтверждение является обоснованным.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1 ст. 105 Закона о контрактной системе при проведении конкурентных способов, при осуществлении закупки товара у единственного поставщика в электронной форме на сумму, предусмотренную ч. 12 ст. 93 Закона о контрактной системе, участник закупки в соответствии с законодательством</w:t>
      </w:r>
      <w:r>
        <w:br w:type="page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Российской Федерации имеет право обжаловать в судебном порядке или в порядке, установленном главой 6 Закона о контрактной системе,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жалобе не указал, каким образом положения извещения нарушают его права и законные интересы и каким образом они могут быть восстановлены.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установленных обстоятельствах Комиссией принято решение не выдавать предписание об устранении выявленных нарушений.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95" w:line="29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262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«Медикал лизинг-консалтинг» вх. № 5771 от</w:t>
      </w:r>
    </w:p>
    <w:p>
      <w:pPr>
        <w:pStyle w:val="Style18"/>
        <w:numPr>
          <w:ilvl w:val="0"/>
          <w:numId w:val="5"/>
        </w:numPr>
        <w:tabs>
          <w:tab w:leader="none" w:pos="143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положения извещения об осуществлении закупки «Поставка лекарственного препарата для медицинского применения - Кеторолак (лот № 641/50195)» (номер извещения 0329200062222003419) частично обоснованной в части второго доводов.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ч. 6 ст. 23, п. 1 ч. 1 ст. 33, ч. 5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об устранении выявленных нарушений законодательства о контрактной системе не выдавать.</w:t>
      </w:r>
    </w:p>
    <w:p>
      <w:pPr>
        <w:framePr w:h="1814" w:wrap="around" w:vAnchor="text" w:hAnchor="margin" w:x="5279" w:y="1520"/>
        <w:widowControl w:val="0"/>
        <w:jc w:val="center"/>
        <w:rPr>
          <w:sz w:val="2"/>
          <w:szCs w:val="2"/>
        </w:rPr>
      </w:pPr>
      <w:r>
        <w:pict>
          <v:shape id="_x0000_s1029" type="#_x0000_t75" style="width:201pt;height:91pt;">
            <v:imagedata r:id="rId9" r:href="rId10"/>
          </v:shape>
        </w:pict>
      </w:r>
    </w:p>
    <w:p>
      <w:pPr>
        <w:pStyle w:val="Style1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95" w:line="29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ответственного должностного лица.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306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855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2275" w:line="29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0" w:right="8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Слащёва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M.J1.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(8442) 24 22 64</w:t>
      </w:r>
    </w:p>
    <w:sectPr>
      <w:type w:val="continuous"/>
      <w:pgSz w:w="11909" w:h="16838"/>
      <w:pgMar w:top="1427" w:left="1269" w:right="1245" w:bottom="95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86.65pt;margin-top:53.pt;width:4.15pt;height:6.8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296.1pt;margin-top:47.35pt;width:3.6pt;height:7.2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23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2"/>
      <w:numFmt w:val="decimal"/>
      <w:lvlText w:val="23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3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/>
      <w:iCs/>
      <w:u w:val="none"/>
      <w:strike w:val="0"/>
      <w:smallCaps w:val="0"/>
      <w:sz w:val="26"/>
      <w:szCs w:val="26"/>
      <w:rFonts w:ascii="Verdana" w:eastAsia="Verdana" w:hAnsi="Verdana" w:cs="Verdana"/>
    </w:rPr>
  </w:style>
  <w:style w:type="character" w:customStyle="1" w:styleId="CharStyle11">
    <w:name w:val="Заголовок №1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 + 10 pt,Не курсив"/>
    <w:basedOn w:val="CharStyle10"/>
    <w:rPr>
      <w:lang w:val="1024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3">
    <w:name w:val="Заголовок №1 + 10 pt,Не курсив"/>
    <w:basedOn w:val="CharStyle10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4">
    <w:name w:val="Заголовок №1 + Интервал 1 pt"/>
    <w:basedOn w:val="CharStyle10"/>
    <w:rPr>
      <w:lang w:val="en-US" w:eastAsia="en-US" w:bidi="en-US"/>
      <w:u w:val="single"/>
      <w:w w:val="100"/>
      <w:spacing w:val="3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Колонтитул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2">
    <w:name w:val="Колонтитул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 + 11 pt,Полужирный"/>
    <w:basedOn w:val="CharStyle19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5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4)"/>
    <w:basedOn w:val="Normal"/>
    <w:link w:val="CharStyle15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20" w:after="180" w:line="209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both"/>
      <w:outlineLvl w:val="0"/>
      <w:spacing w:before="180" w:after="180" w:line="0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Verdana" w:eastAsia="Verdana" w:hAnsi="Verdana" w:cs="Verdana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Колонтитул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