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-5082" w:y="-705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3"/>
        <w:numPr>
          <w:ilvl w:val="0"/>
          <w:numId w:val="1"/>
        </w:numPr>
        <w:tabs>
          <w:tab w:leader="none" w:pos="383" w:val="left"/>
        </w:tabs>
        <w:widowControl w:val="0"/>
        <w:keepNext w:val="0"/>
        <w:keepLines w:val="0"/>
        <w:shd w:val="clear" w:color="auto" w:fill="auto"/>
        <w:bidi w:val="0"/>
        <w:spacing w:before="0" w:after="307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«Медицинская компания ЮТА»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443013, Самарская область, г. Самара, ул. Киевская, дом 13, помещение б/н, поз. 61, 62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20" w:right="0" w:firstLine="0"/>
      </w:pPr>
      <w:r>
        <w:fldChar w:fldCharType="begin"/>
      </w:r>
      <w:r>
        <w:rPr>
          <w:color w:val="000000"/>
        </w:rPr>
        <w:instrText> HYPERLINK "mailto:Mky163@gmail.com"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Mky163@gmail.com</w:t>
      </w:r>
      <w:r>
        <w:fldChar w:fldCharType="end"/>
      </w:r>
    </w:p>
    <w:p>
      <w:pPr>
        <w:pStyle w:val="Style3"/>
        <w:framePr w:h="240" w:wrap="around" w:vAnchor="text" w:hAnchor="margin" w:x="4929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Н.Н.</w:t>
      </w:r>
    </w:p>
    <w:p>
      <w:pPr>
        <w:pStyle w:val="Style3"/>
        <w:numPr>
          <w:ilvl w:val="0"/>
          <w:numId w:val="1"/>
        </w:numPr>
        <w:tabs>
          <w:tab w:leader="none" w:pos="534" w:val="left"/>
        </w:tabs>
        <w:widowControl w:val="0"/>
        <w:keepNext w:val="0"/>
        <w:keepLines w:val="0"/>
        <w:shd w:val="clear" w:color="auto" w:fill="auto"/>
        <w:bidi w:val="0"/>
        <w:spacing w:before="0" w:after="296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 «НМИЦ онкологии им. Блохина» Минздрава России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53" w:line="326" w:lineRule="exact"/>
        <w:ind w:left="2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115478, г Москва, г Москва, р-н Москворечье- Сабурово, ш Каширское, дом 24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57" w:line="260" w:lineRule="exact"/>
        <w:ind w:left="2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s .</w:t>
      </w:r>
      <w:r>
        <w:fldChar w:fldCharType="begin"/>
      </w:r>
      <w:r>
        <w:rPr>
          <w:color w:val="000000"/>
        </w:rPr>
        <w:instrText> HYPERLINK "mailto:chernykh@ronc.ru"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chernykh@ronc.ru</w:t>
      </w:r>
      <w:r>
        <w:fldChar w:fldCharType="end"/>
      </w:r>
    </w:p>
    <w:p>
      <w:pPr>
        <w:pStyle w:val="Style3"/>
        <w:numPr>
          <w:ilvl w:val="0"/>
          <w:numId w:val="1"/>
        </w:numPr>
        <w:tabs>
          <w:tab w:leader="none" w:pos="402" w:val="left"/>
        </w:tabs>
        <w:widowControl w:val="0"/>
        <w:keepNext w:val="0"/>
        <w:keepLines w:val="0"/>
        <w:shd w:val="clear" w:color="auto" w:fill="auto"/>
        <w:bidi w:val="0"/>
        <w:spacing w:before="0" w:after="30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РТС-тендер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9" w:line="322" w:lineRule="exact"/>
        <w:ind w:left="20" w:right="5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121151, г. Москва, наб. Тараса Шевченко, д. 23А, 25 эт., пом. 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  <w:sectPr>
          <w:headerReference w:type="default" r:id="rId7"/>
          <w:footerReference w:type="default" r:id="rId8"/>
          <w:footerReference w:type="first" r:id="rId9"/>
          <w:titlePg/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994" w:left="5661" w:right="477" w:bottom="351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3" w:after="8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tabs>
          <w:tab w:leader="none" w:pos="9695" w:val="right"/>
          <w:tab w:leader="none" w:pos="1074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077/06/106-10012/2022 о нарушении законодательства о контрактной системе 29.06.2022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" w:line="260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Э.З. Гугава,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разряда отдела обжалования государственных закупок М.О. Мацневой,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рассмотрение жалоб проводилось дистанционно (посредством конференц-связи)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10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представителей ООО «Медицинская компания ЮТА» и ФГБУ «НМ</w:t>
      </w:r>
      <w:r>
        <w:rPr>
          <w:rStyle w:val="CharStyle13"/>
        </w:rPr>
        <w:t>ИЦ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онкологии им. Н.Н. Блохина» Минздрава России,</w:t>
      </w:r>
    </w:p>
    <w:p>
      <w:pPr>
        <w:pStyle w:val="Style9"/>
        <w:framePr w:w="1685" w:h="394" w:wrap="around" w:vAnchor="text" w:hAnchor="margin" w:x="447" w:y="44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001222009911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8" w:line="260" w:lineRule="exact"/>
        <w:ind w:left="10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жалобы ООО «Медицинская компания ЮТА» (далее — Заявитель)</w:t>
      </w:r>
    </w:p>
    <w:p>
      <w:pPr>
        <w:framePr w:h="461" w:wrap="notBeside" w:vAnchor="text" w:hAnchor="text" w:y="1"/>
        <w:widowControl w:val="0"/>
        <w:jc w:val="left"/>
        <w:rPr>
          <w:sz w:val="2"/>
          <w:szCs w:val="2"/>
        </w:rPr>
      </w:pPr>
      <w:r>
        <w:pict>
          <v:shape id="_x0000_s1030" type="#_x0000_t75" style="width:129pt;height:23pt;">
            <v:imagedata r:id="rId10" r:href="rId11"/>
          </v:shape>
        </w:pict>
      </w:r>
    </w:p>
    <w:p>
      <w:pPr>
        <w:widowControl w:val="0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964" w:left="477" w:right="616" w:bottom="321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tabs>
          <w:tab w:leader="none" w:pos="3043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действия ФГБУ «НМ</w:t>
      </w:r>
      <w:r>
        <w:rPr>
          <w:rStyle w:val="CharStyle13"/>
        </w:rPr>
        <w:t>ИЦ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онкологии им. Н.Н. Блохина» Минздрава России (далее — Заказчик) при проведении электронных аукционов на право заключения государственного контракта на поставку и ввод в эксплуатацию системы рентгеновской диагностической передвижной общего назначения, системы маммографической рентгеновской стационарной, цифровой с принадлежностями (Закупки№№ 0373100094322000551,</w:t>
        <w:tab/>
        <w:t>0373100094322000536 и 0373100094322000534) (далее 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6" w:line="29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регламентом,утвержденным приказом ФАС России от 19.11.2014 №727/14,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202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поступили жалобы Заявителя на действия Заказчика при проведении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Управления Заказчиком представлены документы и сведения, запрашиваемые письмом Московского УФАС России исх. №ЕИ/34045/22 от 27.06.2022.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8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результате рассмотрения жалоб, рассмотрев представленные документы и сведения, Комиссия Управления установила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3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части 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содержащее, в том числе, информацию 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пп. «б» п.2 Правил использования КТРУ каталог используется заказчиками в целях описания объектов закупки, которое включается в план-график закупок, извещение об осуществлении закупки, приглашение и документацию о закупке.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п.4 Правил использования КТРУ Заказчики обязаны применять информацию, включенную в позицию каталога в соответствии с подпунктами «б» - «и» п.10 Правил формирования КТРУ.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«г» п.10 Правил формирования КТРУ в позицию каталога включается информация, содержащая описание товара, работы, услуги, если такое описание сформировано в соответствии с п.13 Правил формирования КТРУ.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п.5 Правил использования КТРУ Заказчик вправе указать в плане закупок, плане-графике закупок, формах обоснования закупок,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п.6 Правил использования КТРУ в случае предоставления иной и дополнительной информации, предусмотренной пунктом 5 Правил использования КТРУ,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пп. «а» п.5 Правил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№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7 Правил,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 33 Закона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в жалобах указывает на то, что Заказчиком неправомерно не применены положения постановления Правительства Российской Федерации от 08.02.2017 № 145, которым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КТРУ), в части описания объекта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По закупке № 0373100094322000551 по мнению Заявителя, объектом закупки предусмотрена поставка и ввод в эксплуатацию системы рентгеновской диагностической стационарной общего назначения, с принадлежностями, которые соответствуют коду КТРУ с 26.60.11.113-00000092 по 26.60.11.113-00000098 «Система рентгеновская диагностическая стационарная общего назначения, цифровая», ввиду чего требования к товарам должны быть установлены в соответствии с правилами использования КТРУ.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извещении о проведении электронного аукциона Заказчиком установлены ограничения допуска отдельных видов радиоэлектронной продукции, происходящих из иностранных государств в соответствии с Постановление Правительства Российской</w:t>
      </w:r>
      <w:r>
        <w:br w:type="page"/>
      </w:r>
    </w:p>
    <w:p>
      <w:pPr>
        <w:pStyle w:val="Style3"/>
        <w:tabs>
          <w:tab w:leader="none" w:pos="3817" w:val="left"/>
          <w:tab w:leader="none" w:pos="4407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Федерации от 10.07.2019</w:t>
        <w:tab/>
        <w:t>№</w:t>
        <w:tab/>
        <w:t>878 «О мерах стимулирования производства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Федерации» (далее — постановление № 878).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отмечает, что Заказчиком в извещении по данной закупке не установлено применение позиций КТРУ.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3"/>
        <w:tabs>
          <w:tab w:leader="none" w:pos="7576" w:val="right"/>
          <w:tab w:leader="none" w:pos="8932" w:val="right"/>
          <w:tab w:leader="none" w:pos="10720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</w:t>
        <w:tab/>
        <w:t>заседании Комиссии Управления представители</w:t>
        <w:tab/>
        <w:t>Заказчика</w:t>
        <w:tab/>
        <w:t>пояснил, что</w:t>
      </w:r>
    </w:p>
    <w:p>
      <w:pPr>
        <w:pStyle w:val="Style3"/>
        <w:tabs>
          <w:tab w:leader="none" w:pos="7576" w:val="right"/>
          <w:tab w:leader="none" w:pos="8932" w:val="right"/>
          <w:tab w:leader="none" w:pos="10720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поз</w:t>
      </w:r>
      <w:r>
        <w:rPr>
          <w:rStyle w:val="CharStyle13"/>
        </w:rPr>
        <w:t>ици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каталогов КТРУ с 26.60.11.113-00000092 по 26.60.11.113-00000098 «Система рентгеновская диагностическая стационарная общего назначения, цифровая» на которые</w:t>
        <w:tab/>
        <w:t>ссылается Заявитель, описывают стандартные</w:t>
        <w:tab/>
        <w:t>системы</w:t>
        <w:tab/>
        <w:t>рентгеновской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диагностической стационарной общего назначения, которые не позволяют использовать требуемые для Заказчика параметры и значения при описании объекта закупки.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 закупаемое медицинское оборудование является более сложным нежели описанное в каталоге, ввиду чего, Заказчик, руководствуясь п.7 Правил использования КТРУ осуществил описание товара, работы, услуги в соответствии с требованиями ст.33 Закона о контрактной системе.</w:t>
      </w:r>
    </w:p>
    <w:p>
      <w:pPr>
        <w:pStyle w:val="Style3"/>
        <w:tabs>
          <w:tab w:leader="none" w:pos="7576" w:val="right"/>
          <w:tab w:leader="none" w:pos="10720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</w:t>
        <w:tab/>
        <w:t>основании вышеизложенного Комиссия Управления приходит к</w:t>
        <w:tab/>
        <w:t>выводу о том,</w:t>
      </w:r>
    </w:p>
    <w:p>
      <w:pPr>
        <w:pStyle w:val="Style3"/>
        <w:tabs>
          <w:tab w:leader="none" w:pos="1234" w:val="right"/>
          <w:tab w:leader="none" w:pos="8932" w:val="right"/>
          <w:tab w:leader="none" w:pos="10720" w:val="righ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что</w:t>
        <w:tab/>
        <w:t>неустановление Заказчиком позиций КТРУ в</w:t>
        <w:tab/>
        <w:t>рамках</w:t>
        <w:tab/>
        <w:t>закупки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0373100094322000551 является правомерным.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вышеуказанный довод Заявителя является необоснованным.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По закупке №0373100094322000536 по мнению Заявителя, объектом закупки предусмотрена поставка и ввод в эксплуатацию системы рентгеновской диагностической передвижной общего назначения, цифровой с принадлежностями, которые соответствуют коду КТРУ 26.60.11.113-00000114 «Система рентгеновская диагностическая передвижная общего назначения, цифровая», ввиду чего требования к товарам должны быть установлены в соответствии с правилами использования КТРУ.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отмечает, что согласно КТРУ, размещенному в Единой информационной системе в сфере закупок, закупаемому Заказчиком товару соответствует позиция КТРУ 26.60.11.113-00000114, при этом в аукционной документации установлены дополнительные характеристики, отсутствующие в вышеуказанной позиции КТРУ, так например:</w:t>
      </w:r>
    </w:p>
    <w:p>
      <w:pPr>
        <w:pStyle w:val="Style14"/>
        <w:tabs>
          <w:tab w:leader="none" w:pos="527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Внутренний источник питания Наличие, должно быть с</w:t>
        <w:tab/>
        <w:t>Необходимо для контроля времени работы от аккумуляторных</w:t>
      </w:r>
    </w:p>
    <w:p>
      <w:pPr>
        <w:pStyle w:val="Style14"/>
        <w:tabs>
          <w:tab w:leader="none" w:pos="2642" w:val="left"/>
          <w:tab w:leader="none" w:pos="5274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(встроенное автоматическое</w:t>
        <w:tab/>
        <w:t>индикатором уровня заряда</w:t>
        <w:tab/>
        <w:t>батарей и своевременной зарядки аппарата</w:t>
      </w:r>
    </w:p>
    <w:p>
      <w:pPr>
        <w:pStyle w:val="Style14"/>
        <w:tabs>
          <w:tab w:leader="none" w:pos="2642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зарядное устройство)</w:t>
        <w:tab/>
        <w:t>аккумуляторов</w:t>
      </w:r>
    </w:p>
    <w:p>
      <w:pPr>
        <w:pStyle w:val="Style14"/>
        <w:framePr w:w="5333" w:h="1330" w:vSpace="36" w:wrap="around" w:vAnchor="text" w:hAnchor="margin" w:x="5303" w:y="-193"/>
        <w:widowControl w:val="0"/>
        <w:keepNext w:val="0"/>
        <w:keepLines w:val="0"/>
        <w:shd w:val="clear" w:color="auto" w:fill="auto"/>
        <w:bidi w:val="0"/>
        <w:jc w:val="left"/>
        <w:spacing w:before="0" w:after="311" w:line="398" w:lineRule="exact"/>
        <w:ind w:left="100" w:right="80" w:firstLine="0"/>
      </w:pPr>
      <w:r>
        <w:rPr>
          <w:rStyle w:val="CharStyle15"/>
          <w:spacing w:val="0"/>
        </w:rPr>
        <w:t>Обеспечивает минимальное время подзарядки системы Обеспечивает универсальность работы системы в любых условиях</w:t>
      </w:r>
    </w:p>
    <w:p>
      <w:pPr>
        <w:pStyle w:val="Style14"/>
        <w:framePr w:w="5333" w:h="1330" w:vSpace="36" w:wrap="around" w:vAnchor="text" w:hAnchor="margin" w:x="5303" w:y="-19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15"/>
          <w:spacing w:val="0"/>
        </w:rPr>
        <w:t>ГОСТ Р 57088-2016</w:t>
      </w:r>
    </w:p>
    <w:p>
      <w:pPr>
        <w:pStyle w:val="Style14"/>
        <w:tabs>
          <w:tab w:leader="none" w:pos="264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1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Время зарядки аккумуляторов до Не более 6,5 80 % при полном разряде Возможность</w:t>
        <w:tab/>
        <w:t>Наличие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7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рентгенографической съемки от сети и от аккумуляторов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83"/>
        <w:ind w:left="20" w:right="1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Количество программ системы Не менее 3000 органоавтоматики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Комиссией Управления установлено, что в случае установления в извещении ограничения допуска отдельных видов радиоэлектронной продукции,</w:t>
        <w:br w:type="page"/>
        <w:t>происходящих из иностранных государств в соответствии с постановлением Правительства Российской Федерации от 10 июля 2019 г. № 878, у Заказчика отсутствует возможность указания дополнительных характеристик, не предусмотренных соответствующей позицией КТРУ!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</w:t>
      </w:r>
      <w:r>
        <w:rPr>
          <w:rStyle w:val="CharStyle13"/>
        </w:rPr>
        <w:t>ыш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еизложенного Комиссия Управления приходит к выводу о неисполнении требований Правил использования КТРУ Закона о контрактной системе, что свидетельствует о нарушении Заказчиком п.1 ч.1 ст.33 Закона о контрактной системе и содержит признаки состава административного правонарушения, ответственность за которое предусмотрена ч.4.2 ст.7.30 Кодекса административных правонарушений.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- По закупке № 0373100094322000534 по мнению Заявителя, объектом закупки предусмотрена поставка и ввод в эксплуатацию системы маммографической рентгеновской стационарной, цифровой с принадлежностями, которые соответствуют коду КТРУ 26.60.11.113-00000089 «Система маммографическая рентгеновская стационарная цифровая», ввиду чего требования к товарам должны быть установлены в соответствии с правилами использования КТРУ.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17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 Комиссия Управления отмечает, что согласно КТРУ, размещенному в Единой информационной системе в сфере закупок, закупаемому Заказчиком товару соответствует позиция КТРУ 26.60.11.113-00000089, при этом в аукционной документации установлены дополнительные характеристики, отсутствующие в вышеуказанной позиции КТРУ, так например:</w:t>
      </w:r>
    </w:p>
    <w:p>
      <w:pPr>
        <w:pStyle w:val="Style14"/>
        <w:tabs>
          <w:tab w:leader="none" w:pos="2602" w:val="left"/>
          <w:tab w:leader="none" w:pos="5263" w:val="left"/>
        </w:tabs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Фокусное расстояние</w:t>
        <w:tab/>
        <w:t>Не менее 650</w:t>
        <w:tab/>
        <w:t>Заказчиком в соответствии с ГОСТ Р 56311-2014 п.6.2.4</w:t>
      </w:r>
    </w:p>
    <w:p>
      <w:pPr>
        <w:pStyle w:val="Style14"/>
        <w:tabs>
          <w:tab w:leader="none" w:pos="2602" w:val="left"/>
          <w:tab w:leader="none" w:pos="4321" w:val="center"/>
          <w:tab w:leader="none" w:pos="5263" w:val="left"/>
        </w:tabs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Диапазон вертикального</w:t>
        <w:tab/>
        <w:t>Не менее от 690 до</w:t>
        <w:tab/>
        <w:t>1500</w:t>
        <w:tab/>
        <w:t>Заказчиком в соответствии с ГОСТ Р 56311-2014 п.6.2.4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197" w:lineRule="exact"/>
        <w:ind w:left="20" w:right="83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перемещен штатива от уровня пола</w:t>
      </w:r>
    </w:p>
    <w:p>
      <w:pPr>
        <w:pStyle w:val="Style14"/>
        <w:tabs>
          <w:tab w:leader="none" w:pos="2602" w:val="left"/>
          <w:tab w:leader="none" w:pos="5263" w:val="left"/>
        </w:tabs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Толщина среза</w:t>
        <w:tab/>
        <w:t>не более 1</w:t>
        <w:tab/>
        <w:t>Обеспечивает проведение томосинтеза, 3D исследование молочных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197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желез</w:t>
      </w:r>
    </w:p>
    <w:p>
      <w:pPr>
        <w:pStyle w:val="Style14"/>
        <w:tabs>
          <w:tab w:leader="none" w:pos="5263" w:val="left"/>
        </w:tabs>
        <w:widowControl w:val="0"/>
        <w:keepNext w:val="0"/>
        <w:keepLines w:val="0"/>
        <w:shd w:val="clear" w:color="auto" w:fill="auto"/>
        <w:bidi w:val="0"/>
        <w:spacing w:before="0" w:after="0" w:line="197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Размер матрицы (разрешение) Не менее (1280 х 1024)</w:t>
        <w:tab/>
        <w:t>Установлено Заказчиком в соответствии с ГОСТ Р 56311-2014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93" w:lineRule="exact"/>
        <w:ind w:left="5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п.6.2.7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Комиссией Управления установлено, что в случае установления в извещении ограничения допуска отдельных видов радиоэлектронной продукции, происходящих из иностранных государств в соответствии с постановлением Правительства Российской Федерации от 10 июля 2019 г. № 878, у Заказчика отсутствует возможность указания дополнительных характеристик, не предусмотренных соответствующей позицией КТРУ!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</w:t>
      </w:r>
      <w:r>
        <w:rPr>
          <w:rStyle w:val="CharStyle13"/>
        </w:rPr>
        <w:t>ыш</w:t>
      </w:r>
      <w:r>
        <w:rPr>
          <w:lang w:val="ru-RU" w:eastAsia="ru-RU" w:bidi="ru-RU"/>
          <w:w w:val="100"/>
          <w:spacing w:val="0"/>
          <w:color w:val="000000"/>
          <w:position w:val="0"/>
        </w:rPr>
        <w:t>еизложенного Комиссия Управления приходит к выводу о неисполнении требований Правил использования КТРУ Закона о контрактной системе, что свидетельствует о нарушении Заказчиком п.1 ч.1 ст.33 Закона о контрактной системе и содержит признаки состава административного правонарушения, ответственность за которое предусмотрена ч.4.2 ст.7.30 Кодекса административных правонарушений.</w:t>
      </w:r>
    </w:p>
    <w:p>
      <w:pPr>
        <w:pStyle w:val="Style3"/>
        <w:numPr>
          <w:ilvl w:val="0"/>
          <w:numId w:val="5"/>
        </w:numPr>
        <w:tabs>
          <w:tab w:leader="none" w:pos="1062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закупке № 0373100094322000536 по мнению Заявителя согласно доводам жалобы установленные Заказчиком характеристики требуемого к поставке товара ограничивают круг участников закупки, поскольку совокупности установленных требований к товару соответствует оборудование единственного производителя, а именно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Mobilett Mira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производства компании Сименс Хелскэа ГмбХ, Германия.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1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составе жалобы представлена сравнительная таблица, в которой приведены установленные в техническом задании требования, ограничивающие возможность поставки продукции иных производителей, так, например:</w:t>
      </w:r>
    </w:p>
    <w:p>
      <w:pPr>
        <w:pStyle w:val="Style16"/>
        <w:framePr w:h="221" w:vSpace="346" w:wrap="around" w:vAnchor="text" w:hAnchor="margin" w:x="108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7"/>
          <w:spacing w:val="0"/>
        </w:rPr>
        <w:t>Тип рентгеновской трубки</w:t>
      </w:r>
    </w:p>
    <w:p>
      <w:pPr>
        <w:pStyle w:val="Style16"/>
        <w:widowControl w:val="0"/>
        <w:keepNext w:val="0"/>
        <w:keepLines w:val="0"/>
        <w:pBdr>
          <w:top w:val="single" w:sz="4" w:space="1" w:color="auto"/>
          <w:bottom w:val="single" w:sz="4" w:space="1" w:color="auto"/>
          <w:left w:val="single" w:sz="4" w:space="4" w:color="auto"/>
          <w:right w:val="single" w:sz="4" w:space="4" w:color="auto"/>
        </w:pBdr>
        <w:shd w:val="clear" w:color="auto" w:fill="auto"/>
        <w:bidi w:val="0"/>
        <w:spacing w:before="0" w:after="0"/>
        <w:ind w:left="130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Двухфокусная или однофокусная с использованием единого фокуса диаметром не более 0.8 мм с параметрами мощности</w:t>
      </w:r>
      <w:r>
        <w:br w:type="page"/>
      </w:r>
    </w:p>
    <w:tbl>
      <w:tblPr>
        <w:tblOverlap w:val="never"/>
        <w:tblLayout w:type="fixed"/>
        <w:jc w:val="center"/>
      </w:tblPr>
      <w:tblGrid>
        <w:gridCol w:w="4104"/>
        <w:gridCol w:w="6504"/>
      </w:tblGrid>
      <w:tr>
        <w:trPr>
          <w:trHeight w:val="28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framePr w:w="10608" w:wrap="notBeside" w:vAnchor="text" w:hAnchor="text" w:xAlign="center" w:y="1"/>
              <w:widowControl w:val="0"/>
              <w:rPr>
                <w:sz w:val="10"/>
                <w:szCs w:val="10"/>
              </w:rPr>
            </w:pP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большого фокусного пятна</w:t>
            </w:r>
          </w:p>
        </w:tc>
      </w:tr>
      <w:tr>
        <w:trPr>
          <w:trHeight w:val="54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4" w:lineRule="exact"/>
              <w:ind w:left="140" w:right="0" w:firstLine="0"/>
            </w:pPr>
            <w:r>
              <w:rPr>
                <w:rStyle w:val="CharStyle22"/>
              </w:rPr>
              <w:t>Диаметр максимального фокусного пятна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Не более 0,8 мм</w:t>
            </w:r>
          </w:p>
        </w:tc>
      </w:tr>
      <w:tr>
        <w:trPr>
          <w:trHeight w:val="78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40" w:right="0" w:firstLine="0"/>
            </w:pPr>
            <w:r>
              <w:rPr>
                <w:rStyle w:val="CharStyle22"/>
              </w:rPr>
              <w:t>Максимальная входная мощность при работе на максимальном фокусном пятне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Не менее 30 кВт</w:t>
            </w:r>
          </w:p>
        </w:tc>
      </w:tr>
      <w:tr>
        <w:trPr>
          <w:trHeight w:val="104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40" w:right="0" w:firstLine="0"/>
            </w:pPr>
            <w:r>
              <w:rPr>
                <w:rStyle w:val="CharStyle22"/>
              </w:rPr>
              <w:t>Сбалансированный штатив рентгеновской трубки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40" w:right="0" w:firstLine="0"/>
            </w:pPr>
            <w:r>
              <w:rPr>
                <w:rStyle w:val="CharStyle22"/>
              </w:rPr>
              <w:t>Наличие, должен быть с перемещением трубки по вертикали за счет поворота относительно двух ("локоть" и "запястье") шарниров (сферическая система координат) или теле скопиче ский</w:t>
            </w:r>
          </w:p>
        </w:tc>
      </w:tr>
      <w:tr>
        <w:trPr>
          <w:trHeight w:val="1037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40" w:right="0" w:firstLine="0"/>
            </w:pPr>
            <w:r>
              <w:rPr>
                <w:rStyle w:val="CharStyle22"/>
              </w:rPr>
              <w:t>Дополнительное управление точным моторизированным перемещением аппарата непосредственно с кронштейна рентгеновской трубки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Наличие</w:t>
            </w:r>
          </w:p>
        </w:tc>
      </w:tr>
      <w:tr>
        <w:trPr>
          <w:trHeight w:val="547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4" w:lineRule="exact"/>
              <w:ind w:left="140" w:right="0" w:firstLine="0"/>
            </w:pPr>
            <w:r>
              <w:rPr>
                <w:rStyle w:val="CharStyle22"/>
              </w:rPr>
              <w:t>Максимальная распределенная нагрузка на детектор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1060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Не менее 300 кг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закупке №0373100094322000534 по мнению Заявителя согласно доводам жалобы, установленные Заказчиком характеристики требуемого к поставке товара ограничивают круг участников закупки, поскольку совокупности установленных требований к товару соответствует оборудование единственного производителя, а именно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Mammomat Revelation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производства компании Сименс Хелскэа ГмбХ, Германия.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 закупке № 0373100094322000551 по мнению Заявителя согласно доводам жалобы, установленные Заказчиком характеристики требуемого к поставке товара ограничивают круг участников закупки, поскольку совокупности установленных требований к товару соответствует оборудование единственного производителя, а именно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Mobilett Mira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производства компании Сименс Хелскэа ГмбХ, Германия.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2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этом в составе жалобы представлена сравнительная таблица, в которой приведены установленные в техническом задании требования, ограничивающие возможность поставки проду</w:t>
      </w:r>
      <w:r>
        <w:rPr>
          <w:rStyle w:val="CharStyle13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иных производителей, так, например:</w:t>
      </w:r>
    </w:p>
    <w:tbl>
      <w:tblPr>
        <w:tblOverlap w:val="never"/>
        <w:tblLayout w:type="fixed"/>
        <w:jc w:val="center"/>
      </w:tblPr>
      <w:tblGrid>
        <w:gridCol w:w="6773"/>
        <w:gridCol w:w="3787"/>
      </w:tblGrid>
      <w:tr>
        <w:trPr>
          <w:trHeight w:val="792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40" w:right="0" w:firstLine="0"/>
            </w:pPr>
            <w:r>
              <w:rPr>
                <w:rStyle w:val="CharStyle22"/>
              </w:rPr>
              <w:t>Дополнительное механическое приспособление, позволяющее отодвинуть детектор от кронштейна вертикальной стойки снимков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Наличие</w:t>
            </w:r>
          </w:p>
        </w:tc>
      </w:tr>
      <w:tr>
        <w:trPr>
          <w:trHeight w:val="53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4" w:lineRule="exact"/>
              <w:ind w:left="140" w:right="0" w:firstLine="0"/>
            </w:pPr>
            <w:r>
              <w:rPr>
                <w:rStyle w:val="CharStyle22"/>
              </w:rPr>
              <w:t>Верхняя рукоятка для вертикальной стойки снимков для растяжки пациента в вертикальном положении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Наличие</w:t>
            </w:r>
          </w:p>
        </w:tc>
      </w:tr>
      <w:tr>
        <w:trPr>
          <w:trHeight w:val="518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Потолочный тип крепления блока с трубкой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Наличие</w:t>
            </w:r>
          </w:p>
        </w:tc>
      </w:tr>
      <w:tr>
        <w:trPr>
          <w:trHeight w:val="51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Телескопический кронштейн с блоком рентгеновской трубки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Наличие</w:t>
            </w:r>
          </w:p>
        </w:tc>
      </w:tr>
      <w:tr>
        <w:trPr>
          <w:trHeight w:val="5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Диапазон продольного перемещения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не менее 345 см</w:t>
            </w:r>
          </w:p>
        </w:tc>
      </w:tr>
      <w:tr>
        <w:trPr>
          <w:trHeight w:val="51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Диапазон поперечного перемещения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не менее 320 см</w:t>
            </w:r>
          </w:p>
        </w:tc>
      </w:tr>
      <w:tr>
        <w:trPr>
          <w:trHeight w:val="542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50" w:lineRule="exact"/>
              <w:ind w:left="140" w:right="0" w:firstLine="0"/>
            </w:pPr>
            <w:r>
              <w:rPr>
                <w:rStyle w:val="CharStyle22"/>
              </w:rPr>
              <w:t>Моторизация потолочного подвеса в вертикальном направлении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3"/>
              <w:framePr w:w="10560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20" w:lineRule="exact"/>
              <w:ind w:left="140" w:right="0" w:firstLine="0"/>
            </w:pPr>
            <w:r>
              <w:rPr>
                <w:rStyle w:val="CharStyle22"/>
              </w:rPr>
              <w:t>Наличие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63" w:after="0" w:line="293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6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заседании Комиссии Управления представителем Заказчика не представлено документов и сведений, подтверждающих соответствие установленным характеристикам товаров иных производителей.</w:t>
      </w:r>
    </w:p>
    <w:p>
      <w:pPr>
        <w:pStyle w:val="Style3"/>
        <w:tabs>
          <w:tab w:leader="none" w:pos="8636" w:val="left"/>
        </w:tabs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приходит к выводу о признании данного довода жалобы обоснованным и о нарушении Заказчиком п.1 ч.1 ст.33, п.1 ч.2 ст.42 Закона о контрактной системе и содержат признаки состава административного правонарушения, предусмотренного ч.4.2</w:t>
        <w:tab/>
        <w:t>ст.7.30 Кодекса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9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66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Законом о контрактной системе, Комиссия Управления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318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1"/>
    </w:p>
    <w:p>
      <w:pPr>
        <w:pStyle w:val="Style3"/>
        <w:numPr>
          <w:ilvl w:val="0"/>
          <w:numId w:val="7"/>
        </w:numPr>
        <w:tabs>
          <w:tab w:leader="none" w:pos="1352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жалобы ООО «Медицинская компания ЮТА» по закупкам №0373100094322000534 и №0373100094322000536 на действия ФГБУ «НМИЦ онкологии им. Н.Н. Блохина» Минздрава России обоснованными.</w:t>
      </w:r>
    </w:p>
    <w:p>
      <w:pPr>
        <w:pStyle w:val="Style3"/>
        <w:numPr>
          <w:ilvl w:val="0"/>
          <w:numId w:val="7"/>
        </w:numPr>
        <w:tabs>
          <w:tab w:leader="none" w:pos="1352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«Медицинская компания ЮТА» по закупке №0373100094322000551 на действия ФГБУ «НМ</w:t>
      </w:r>
      <w:r>
        <w:rPr>
          <w:rStyle w:val="CharStyle13"/>
        </w:rPr>
        <w:t>ИЦ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онкологии им. Н.Н. Блохина» Минздрава России обоснованной в части установления характеристик, соответствующих единственному производителю.</w:t>
      </w:r>
    </w:p>
    <w:p>
      <w:pPr>
        <w:pStyle w:val="Style3"/>
        <w:numPr>
          <w:ilvl w:val="0"/>
          <w:numId w:val="7"/>
        </w:numPr>
        <w:tabs>
          <w:tab w:leader="none" w:pos="1352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в действиях Заказчика нарушение п.1 ч.1 ст.33, п.1 ч.2 ст. 42 Закона о контрактной системе.</w:t>
      </w:r>
    </w:p>
    <w:p>
      <w:pPr>
        <w:pStyle w:val="Style3"/>
        <w:numPr>
          <w:ilvl w:val="0"/>
          <w:numId w:val="7"/>
        </w:numPr>
        <w:tabs>
          <w:tab w:leader="none" w:pos="1352" w:val="left"/>
        </w:tabs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Выдать Заказчику обязательное для исполнения предписание об устранении нарушений законодательства об осуществлении закупок.</w:t>
      </w:r>
    </w:p>
    <w:p>
      <w:pPr>
        <w:pStyle w:val="Style3"/>
        <w:numPr>
          <w:ilvl w:val="0"/>
          <w:numId w:val="7"/>
        </w:numPr>
        <w:tabs>
          <w:tab w:leader="none" w:pos="1352" w:val="left"/>
        </w:tabs>
        <w:widowControl w:val="0"/>
        <w:keepNext w:val="0"/>
        <w:keepLines w:val="0"/>
        <w:shd w:val="clear" w:color="auto" w:fill="auto"/>
        <w:bidi w:val="0"/>
        <w:spacing w:before="0" w:after="248" w:line="30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Передать материалы дела соответствующему должностному лицу Московского </w:t>
      </w:r>
      <w:r>
        <w:rPr>
          <w:rStyle w:val="CharStyle24"/>
        </w:rPr>
        <w:t>УФАС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России для рассмотрения вопроса о возбуждении дела об административном правонарушении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474" w:line="293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10724" w:val="right"/>
          <w:tab w:leader="none" w:pos="10738" w:val="right"/>
        </w:tabs>
        <w:widowControl w:val="0"/>
        <w:keepNext w:val="0"/>
        <w:keepLines w:val="0"/>
        <w:shd w:val="clear" w:color="auto" w:fill="auto"/>
        <w:bidi w:val="0"/>
        <w:spacing w:before="0" w:after="0" w:line="6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С.И.</w:t>
        <w:tab/>
        <w:t>Казарин</w:t>
      </w:r>
    </w:p>
    <w:p>
      <w:pPr>
        <w:pStyle w:val="Style3"/>
        <w:tabs>
          <w:tab w:leader="none" w:pos="9759" w:val="right"/>
          <w:tab w:leader="none" w:pos="10724" w:val="right"/>
        </w:tabs>
        <w:widowControl w:val="0"/>
        <w:keepNext w:val="0"/>
        <w:keepLines w:val="0"/>
        <w:shd w:val="clear" w:color="auto" w:fill="auto"/>
        <w:bidi w:val="0"/>
        <w:spacing w:before="0" w:after="0" w:line="6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  <w:tab/>
        <w:t>Э.З.</w:t>
        <w:tab/>
        <w:t>Гугава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2684" w:line="60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89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 тел.8(495)784-75-05</w:t>
      </w:r>
    </w:p>
    <w:sectPr>
      <w:pgSz w:w="11909" w:h="16838"/>
      <w:pgMar w:top="1169" w:left="590" w:right="582" w:bottom="1097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30.35pt;margin-top:797.05pt;width:56.9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</w:rPr>
                  <w:t>2022-38011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29.15pt;margin-top:805.5pt;width:55.9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8"/>
                  </w:rPr>
                  <w:t>2022-38011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3pt;margin-top:36.95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6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8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2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2"/>
    </w:rPr>
  </w:style>
  <w:style w:type="character" w:customStyle="1" w:styleId="CharStyle5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Колонтитул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</w:rPr>
  </w:style>
  <w:style w:type="character" w:customStyle="1" w:styleId="CharStyle8">
    <w:name w:val="Колонтитул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Штрих-код (2)_"/>
    <w:basedOn w:val="DefaultParagraphFont"/>
    <w:link w:val="Style9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2">
    <w:name w:val="Основной текст (2)_"/>
    <w:basedOn w:val="DefaultParagraphFont"/>
    <w:link w:val="Style11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3">
    <w:name w:val="Основной текст"/>
    <w:basedOn w:val="CharStyle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-2"/>
    </w:rPr>
  </w:style>
  <w:style w:type="character" w:customStyle="1" w:styleId="CharStyle17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2"/>
    </w:rPr>
  </w:style>
  <w:style w:type="character" w:customStyle="1" w:styleId="CharStyle19">
    <w:name w:val="Заголовок №1_"/>
    <w:basedOn w:val="DefaultParagraphFont"/>
    <w:link w:val="Style1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0">
    <w:name w:val="Основной текст (3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21">
    <w:name w:val="Основной текст (4)_"/>
    <w:basedOn w:val="DefaultParagraphFont"/>
    <w:link w:val="Style16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Основной текст + 11 pt"/>
    <w:basedOn w:val="CharStyle5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3">
    <w:name w:val="Основной текст + 11 pt"/>
    <w:basedOn w:val="CharStyle5"/>
    <w:rPr>
      <w:lang w:val="ru-RU" w:eastAsia="ru-RU" w:bidi="ru-RU"/>
      <w:sz w:val="22"/>
      <w:szCs w:val="22"/>
      <w:w w:val="100"/>
      <w:spacing w:val="0"/>
      <w:color w:val="000000"/>
      <w:position w:val="0"/>
    </w:rPr>
  </w:style>
  <w:style w:type="character" w:customStyle="1" w:styleId="CharStyle24">
    <w:name w:val="Основной текст"/>
    <w:basedOn w:val="CharStyle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6">
    <w:name w:val="Основной текст (5)_"/>
    <w:basedOn w:val="DefaultParagraphFont"/>
    <w:link w:val="Style25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5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Колонтитул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Calibri" w:eastAsia="Calibri" w:hAnsi="Calibri" w:cs="Calibri"/>
    </w:rPr>
  </w:style>
  <w:style w:type="paragraph" w:customStyle="1" w:styleId="Style9">
    <w:name w:val="Штрих-код (2)"/>
    <w:basedOn w:val="Normal"/>
    <w:link w:val="CharStyle10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Основной текст (2)"/>
    <w:basedOn w:val="Normal"/>
    <w:link w:val="CharStyle12"/>
    <w:pPr>
      <w:widowControl w:val="0"/>
      <w:shd w:val="clear" w:color="auto" w:fill="FFFFFF"/>
      <w:spacing w:line="322" w:lineRule="exact"/>
      <w:ind w:firstLine="462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20"/>
    <w:pPr>
      <w:widowControl w:val="0"/>
      <w:shd w:val="clear" w:color="auto" w:fill="FFFFFF"/>
      <w:jc w:val="both"/>
      <w:spacing w:line="19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6">
    <w:name w:val="Основной текст (4)"/>
    <w:basedOn w:val="Normal"/>
    <w:link w:val="CharStyle21"/>
    <w:pPr>
      <w:widowControl w:val="0"/>
      <w:shd w:val="clear" w:color="auto" w:fill="FFFFFF"/>
      <w:jc w:val="both"/>
      <w:spacing w:before="240" w:line="25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center"/>
      <w:outlineLvl w:val="0"/>
      <w:spacing w:before="240" w:after="30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5">
    <w:name w:val="Основной текст (5)"/>
    <w:basedOn w:val="Normal"/>
    <w:link w:val="CharStyle26"/>
    <w:pPr>
      <w:widowControl w:val="0"/>
      <w:shd w:val="clear" w:color="auto" w:fill="FFFFFF"/>
      <w:spacing w:before="2400" w:line="245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/Relationships>
</file>