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numPr>
          <w:ilvl w:val="0"/>
          <w:numId w:val="1"/>
        </w:numPr>
        <w:widowControl w:val="0"/>
        <w:keepNext w:val="0"/>
        <w:keepLines w:val="0"/>
        <w:shd w:val="clear" w:color="auto" w:fill="auto"/>
        <w:bidi w:val="0"/>
        <w:jc w:val="left"/>
        <w:spacing w:before="0" w:after="243" w:line="260" w:lineRule="exact"/>
        <w:ind w:left="60" w:right="0" w:firstLine="0"/>
      </w:pPr>
      <w:r>
        <w:rPr>
          <w:lang w:val="ru-RU" w:eastAsia="ru-RU" w:bidi="ru-RU"/>
          <w:w w:val="100"/>
          <w:spacing w:val="0"/>
          <w:color w:val="000000"/>
          <w:position w:val="0"/>
        </w:rPr>
        <w:t xml:space="preserve"> ООО «НордВестСтрой»</w:t>
      </w:r>
    </w:p>
    <w:p>
      <w:pPr>
        <w:pStyle w:val="Style5"/>
        <w:widowControl w:val="0"/>
        <w:keepNext w:val="0"/>
        <w:keepLines w:val="0"/>
        <w:shd w:val="clear" w:color="auto" w:fill="auto"/>
        <w:bidi w:val="0"/>
        <w:jc w:val="both"/>
        <w:spacing w:before="0" w:after="349" w:line="322" w:lineRule="exact"/>
        <w:ind w:left="60" w:right="20" w:firstLine="0"/>
      </w:pPr>
      <w:r>
        <w:rPr>
          <w:lang w:val="ru-RU" w:eastAsia="ru-RU" w:bidi="ru-RU"/>
          <w:w w:val="100"/>
          <w:spacing w:val="0"/>
          <w:color w:val="000000"/>
          <w:position w:val="0"/>
        </w:rPr>
        <w:t>195197, Санкт-Петербург, улица Жукова, литер Д, корпус 329, помещение 14 Н/№37</w:t>
      </w:r>
    </w:p>
    <w:p>
      <w:pPr>
        <w:pStyle w:val="Style5"/>
        <w:widowControl w:val="0"/>
        <w:keepNext w:val="0"/>
        <w:keepLines w:val="0"/>
        <w:shd w:val="clear" w:color="auto" w:fill="auto"/>
        <w:bidi w:val="0"/>
        <w:jc w:val="left"/>
        <w:spacing w:before="0" w:after="292" w:line="260" w:lineRule="exact"/>
        <w:ind w:left="60" w:right="0" w:firstLine="0"/>
      </w:pPr>
      <w:r>
        <w:fldChar w:fldCharType="begin"/>
      </w:r>
      <w:r>
        <w:rPr>
          <w:color w:val="000000"/>
        </w:rPr>
        <w:instrText> HYPERLINK "mailto:info@nordwest-s.ru" </w:instrText>
      </w:r>
      <w:r>
        <w:fldChar w:fldCharType="separate"/>
      </w:r>
      <w:r>
        <w:rPr>
          <w:rStyle w:val="Hyperlink"/>
          <w:lang w:val="en-US" w:eastAsia="en-US" w:bidi="en-US"/>
          <w:w w:val="100"/>
          <w:spacing w:val="0"/>
          <w:position w:val="0"/>
        </w:rPr>
        <w:t>info@nordwest-s.ru</w:t>
      </w:r>
      <w:r>
        <w:fldChar w:fldCharType="end"/>
      </w:r>
    </w:p>
    <w:p>
      <w:pPr>
        <w:pStyle w:val="Style5"/>
        <w:numPr>
          <w:ilvl w:val="0"/>
          <w:numId w:val="1"/>
        </w:numPr>
        <w:widowControl w:val="0"/>
        <w:keepNext w:val="0"/>
        <w:keepLines w:val="0"/>
        <w:shd w:val="clear" w:color="auto" w:fill="auto"/>
        <w:bidi w:val="0"/>
        <w:jc w:val="left"/>
        <w:spacing w:before="0" w:after="252" w:line="260" w:lineRule="exact"/>
        <w:ind w:left="60" w:right="0" w:firstLine="0"/>
      </w:pPr>
      <w:r>
        <w:rPr>
          <w:lang w:val="ru-RU" w:eastAsia="ru-RU" w:bidi="ru-RU"/>
          <w:w w:val="100"/>
          <w:spacing w:val="0"/>
          <w:color w:val="000000"/>
          <w:position w:val="0"/>
        </w:rPr>
        <w:t xml:space="preserve"> ФГБУ НМИЦО ФМБА России</w:t>
      </w:r>
    </w:p>
    <w:p>
      <w:pPr>
        <w:pStyle w:val="Style5"/>
        <w:widowControl w:val="0"/>
        <w:keepNext w:val="0"/>
        <w:keepLines w:val="0"/>
        <w:shd w:val="clear" w:color="auto" w:fill="auto"/>
        <w:bidi w:val="0"/>
        <w:jc w:val="both"/>
        <w:spacing w:before="0" w:after="346" w:line="317" w:lineRule="exact"/>
        <w:ind w:left="60" w:right="20" w:firstLine="0"/>
      </w:pPr>
      <w:r>
        <w:rPr>
          <w:lang w:val="ru-RU" w:eastAsia="ru-RU" w:bidi="ru-RU"/>
          <w:w w:val="100"/>
          <w:spacing w:val="0"/>
          <w:color w:val="000000"/>
          <w:position w:val="0"/>
        </w:rPr>
        <w:t>123182, г. Москва, ш. Волоколамское, д. 30/корп. 2</w:t>
      </w:r>
    </w:p>
    <w:p>
      <w:pPr>
        <w:pStyle w:val="Style5"/>
        <w:widowControl w:val="0"/>
        <w:keepNext w:val="0"/>
        <w:keepLines w:val="0"/>
        <w:shd w:val="clear" w:color="auto" w:fill="auto"/>
        <w:bidi w:val="0"/>
        <w:jc w:val="left"/>
        <w:spacing w:before="0" w:after="245" w:line="260" w:lineRule="exact"/>
        <w:ind w:left="60" w:right="0" w:firstLine="0"/>
      </w:pPr>
      <w:r>
        <w:fldChar w:fldCharType="begin"/>
      </w:r>
      <w:r>
        <w:rPr>
          <w:color w:val="000000"/>
        </w:rPr>
        <w:instrText> HYPERLINK "mailto:zakupki@otolar-centre.ru" </w:instrText>
      </w:r>
      <w:r>
        <w:fldChar w:fldCharType="separate"/>
      </w:r>
      <w:r>
        <w:rPr>
          <w:rStyle w:val="Hyperlink"/>
          <w:lang w:val="en-US" w:eastAsia="en-US" w:bidi="en-US"/>
          <w:w w:val="100"/>
          <w:spacing w:val="0"/>
          <w:position w:val="0"/>
        </w:rPr>
        <w:t>zakupki@otolar-centre.ru</w:t>
      </w:r>
      <w:r>
        <w:fldChar w:fldCharType="end"/>
      </w:r>
    </w:p>
    <w:p>
      <w:pPr>
        <w:pStyle w:val="Style10"/>
        <w:tabs>
          <w:tab w:leader="none" w:pos="9089" w:val="center"/>
          <w:tab w:leader="none" w:pos="10217" w:val="right"/>
        </w:tabs>
        <w:widowControl w:val="0"/>
        <w:keepNext w:val="0"/>
        <w:keepLines w:val="0"/>
        <w:shd w:val="clear" w:color="auto" w:fill="auto"/>
        <w:bidi w:val="0"/>
        <w:jc w:val="left"/>
        <w:spacing w:before="0" w:after="0"/>
        <w:ind w:left="60" w:right="20" w:firstLine="0"/>
      </w:pPr>
      <w:r>
        <w:rPr>
          <w:lang w:val="ru-RU" w:eastAsia="ru-RU" w:bidi="ru-RU"/>
          <w:w w:val="100"/>
          <w:spacing w:val="0"/>
          <w:color w:val="000000"/>
          <w:position w:val="0"/>
        </w:rPr>
        <w:t>РЕШЕНИЕ по делу № 077/06/106-10070/2022 о нарушении Законодательства о контрактной системе</w:t>
      </w:r>
    </w:p>
    <w:p>
      <w:pPr>
        <w:pStyle w:val="Style10"/>
        <w:numPr>
          <w:ilvl w:val="0"/>
          <w:numId w:val="3"/>
        </w:numPr>
        <w:tabs>
          <w:tab w:leader="none" w:pos="9089" w:val="center"/>
          <w:tab w:leader="none" w:pos="10217" w:val="right"/>
          <w:tab w:leader="none" w:pos="9017" w:val="left"/>
        </w:tabs>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12" w:lineRule="exact"/>
        <w:ind w:left="6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2" w:lineRule="exact"/>
        <w:ind w:left="60" w:right="20" w:firstLine="680"/>
      </w:pPr>
      <w:r>
        <w:rPr>
          <w:lang w:val="ru-RU" w:eastAsia="ru-RU" w:bidi="ru-RU"/>
          <w:w w:val="100"/>
          <w:spacing w:val="0"/>
          <w:color w:val="000000"/>
          <w:position w:val="0"/>
        </w:rPr>
        <w:t>Председательствующего - главного государственного инспектора отделаобжалования государственных закупок С.И. Казарина,</w:t>
      </w:r>
    </w:p>
    <w:p>
      <w:pPr>
        <w:pStyle w:val="Style5"/>
        <w:widowControl w:val="0"/>
        <w:keepNext w:val="0"/>
        <w:keepLines w:val="0"/>
        <w:shd w:val="clear" w:color="auto" w:fill="auto"/>
        <w:bidi w:val="0"/>
        <w:jc w:val="both"/>
        <w:spacing w:before="0" w:after="0" w:line="312" w:lineRule="exact"/>
        <w:ind w:left="6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2" w:lineRule="exact"/>
        <w:ind w:left="6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12" w:lineRule="exact"/>
        <w:ind w:left="6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5"/>
        <w:widowControl w:val="0"/>
        <w:keepNext w:val="0"/>
        <w:keepLines w:val="0"/>
        <w:shd w:val="clear" w:color="auto" w:fill="auto"/>
        <w:bidi w:val="0"/>
        <w:jc w:val="both"/>
        <w:spacing w:before="0" w:after="0" w:line="312" w:lineRule="exact"/>
        <w:ind w:left="6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2" w:lineRule="exact"/>
        <w:ind w:left="60" w:right="20" w:firstLine="780"/>
      </w:pPr>
      <w:r>
        <w:rPr>
          <w:lang w:val="ru-RU" w:eastAsia="ru-RU" w:bidi="ru-RU"/>
          <w:w w:val="100"/>
          <w:spacing w:val="0"/>
          <w:color w:val="000000"/>
          <w:position w:val="0"/>
        </w:rPr>
        <w:t>при участии генерального директора ООО «НордВестСтрой»: Дронова Р.Г.; представителей ФГБУ НМ</w:t>
      </w:r>
      <w:r>
        <w:rPr>
          <w:rStyle w:val="CharStyle12"/>
        </w:rPr>
        <w:t>ИЦ</w:t>
      </w:r>
      <w:r>
        <w:rPr>
          <w:lang w:val="ru-RU" w:eastAsia="ru-RU" w:bidi="ru-RU"/>
          <w:w w:val="100"/>
          <w:spacing w:val="0"/>
          <w:color w:val="000000"/>
          <w:position w:val="0"/>
        </w:rPr>
        <w:t>О ФМБА России: Тахчиди Н.Х. (по доверенности №60 от 02.06.2022), Трифонова А.И. (по доверенности № 10 от 14.01.2022),</w:t>
      </w:r>
    </w:p>
    <w:p>
      <w:pPr>
        <w:pStyle w:val="Style3"/>
        <w:framePr w:w="1685" w:h="394" w:wrap="around" w:vAnchor="text" w:hAnchor="margin" w:x="385" w:y="280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000254629132</w:t>
      </w:r>
    </w:p>
    <w:p>
      <w:pPr>
        <w:pStyle w:val="Style5"/>
        <w:widowControl w:val="0"/>
        <w:keepNext w:val="0"/>
        <w:keepLines w:val="0"/>
        <w:shd w:val="clear" w:color="auto" w:fill="auto"/>
        <w:bidi w:val="0"/>
        <w:jc w:val="both"/>
        <w:spacing w:before="0" w:after="298" w:line="312" w:lineRule="exact"/>
        <w:ind w:left="60" w:right="20" w:firstLine="680"/>
      </w:pPr>
      <w:r>
        <w:rPr>
          <w:lang w:val="ru-RU" w:eastAsia="ru-RU" w:bidi="ru-RU"/>
          <w:w w:val="100"/>
          <w:spacing w:val="0"/>
          <w:color w:val="000000"/>
          <w:position w:val="0"/>
        </w:rPr>
        <w:t>рассмотрев жалобу ООО «НордВестСтрой» (далее — Заявитель) на действия ФГБУ НМ</w:t>
      </w:r>
      <w:r>
        <w:rPr>
          <w:rStyle w:val="CharStyle12"/>
        </w:rPr>
        <w:t>ИЦ</w:t>
      </w:r>
      <w:r>
        <w:rPr>
          <w:lang w:val="ru-RU" w:eastAsia="ru-RU" w:bidi="ru-RU"/>
          <w:w w:val="100"/>
          <w:spacing w:val="0"/>
          <w:color w:val="000000"/>
          <w:position w:val="0"/>
        </w:rPr>
        <w:t>О ФМБА России (далее — Заказчик) при проведении аукциона в электронной форме на право заключения государственного контракта на поставку медицинского оборудования для офтальмологии (Диагностическое оборудование) (Закупка№ 0373100091922000117)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236" w:line="307" w:lineRule="exact"/>
        <w:ind w:left="20" w:right="20" w:firstLine="0"/>
      </w:pPr>
      <w:r>
        <w:rPr>
          <w:lang w:val="ru-RU" w:eastAsia="ru-RU" w:bidi="ru-RU"/>
          <w:w w:val="100"/>
          <w:spacing w:val="0"/>
          <w:color w:val="000000"/>
          <w:position w:val="0"/>
        </w:rPr>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3"/>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 а также в допуске иного участника закупки, предложившего к поставке идентичный товар, что и Заявитель.</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№ЕИ/34303/22 от 28.06.2022.</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В результате рассмотрения жалобы, рассмотрев имеющиеся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от 22.06.2022 №ИЭА2 заявка Заявителя (идентификационный номер заявки 4) признана не соответствующей требованиям аукционной документации на следующем основании: «Согласно пункту 16 «Требования к содержанию, составу заявки на участие в электронном аукционе» - Характеристики предлагаемого участником закупки товара, соответствующие показателям,установленным в описании объекта закупки в соответствии с частью 2 статьи 33 44-ФЗ Согласно официальному письму представителя производителя характеристики товара, указанные в заявке не соответствуют характеристикам медицинского изделия производимого по регистрационному удостоверению № РЗН 2021/13875 года в части значения характеристики «Базовая длина волны источника когерентного света» Следовательно, участником представлены сведения не соответствующие требованиям извещения».</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tabs>
          <w:tab w:leader="none" w:pos="2827" w:val="left"/>
        </w:tabs>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В силу ч.2</w:t>
        <w:tab/>
        <w:t>ст.33 Закона о контрактной системе документация</w:t>
      </w:r>
    </w:p>
    <w:p>
      <w:pPr>
        <w:pStyle w:val="Style5"/>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Комиссией Управления установлено, что Заказчиком в техническом задании установлены требования к товару «Оптический когерентный томограф сетчатки», в частности п.2.1 «Базовая длина волны источника когерентного света:&gt; 830 и &lt; 1300 нм».</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tabs>
          <w:tab w:leader="none" w:pos="5170" w:val="left"/>
        </w:tabs>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а) с учетом положений ч. 2</w:t>
        <w:tab/>
        <w:t>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 xml:space="preserve">Комиссией Управления установлено, что в составе заявки Заявителя представлены сведения о товаре «Система оптической когерентной томографии </w:t>
      </w:r>
      <w:r>
        <w:rPr>
          <w:lang w:val="en-US" w:eastAsia="en-US" w:bidi="en-US"/>
          <w:w w:val="100"/>
          <w:spacing w:val="0"/>
          <w:color w:val="000000"/>
          <w:position w:val="0"/>
        </w:rPr>
        <w:t xml:space="preserve">SOLIX </w:t>
      </w:r>
      <w:r>
        <w:rPr>
          <w:lang w:val="ru-RU" w:eastAsia="ru-RU" w:bidi="ru-RU"/>
          <w:w w:val="100"/>
          <w:spacing w:val="0"/>
          <w:color w:val="000000"/>
          <w:position w:val="0"/>
        </w:rPr>
        <w:t xml:space="preserve">(со встроенной фундус-камерой) Номер РУ РЗН 2021/13875», в частности п.2.1 «Базовая длина волны источника когерентного света: 850 нм». В составе заявки победителя данного электронного аукциона представлены сведения о товаре «Система оптической когерентной томографии </w:t>
      </w:r>
      <w:r>
        <w:rPr>
          <w:lang w:val="en-US" w:eastAsia="en-US" w:bidi="en-US"/>
          <w:w w:val="100"/>
          <w:spacing w:val="0"/>
          <w:color w:val="000000"/>
          <w:position w:val="0"/>
        </w:rPr>
        <w:t xml:space="preserve">SOLIX </w:t>
      </w:r>
      <w:r>
        <w:rPr>
          <w:lang w:val="ru-RU" w:eastAsia="ru-RU" w:bidi="ru-RU"/>
          <w:w w:val="100"/>
          <w:spacing w:val="0"/>
          <w:color w:val="000000"/>
          <w:position w:val="0"/>
        </w:rPr>
        <w:t xml:space="preserve">(со встроенной фундус- камерой), </w:t>
      </w:r>
      <w:r>
        <w:rPr>
          <w:lang w:val="en-US" w:eastAsia="en-US" w:bidi="en-US"/>
          <w:w w:val="100"/>
          <w:spacing w:val="0"/>
          <w:color w:val="000000"/>
          <w:position w:val="0"/>
        </w:rPr>
        <w:t xml:space="preserve">Optovue, Inc., </w:t>
      </w:r>
      <w:r>
        <w:rPr>
          <w:lang w:val="ru-RU" w:eastAsia="ru-RU" w:bidi="ru-RU"/>
          <w:w w:val="100"/>
          <w:spacing w:val="0"/>
          <w:color w:val="000000"/>
          <w:position w:val="0"/>
        </w:rPr>
        <w:t>США», в частности п.2.1 «Базовая длина волны источника когерентного света: 840 нм»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1-8 ч. 12 ст. 48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5"/>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numPr>
          <w:ilvl w:val="0"/>
          <w:numId w:val="5"/>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предусмотренных ч. 6 ст. 45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указания информации о предложении участника закупки, предусмотренном п. 3 или п. 4 ч. 1 ст. 43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в заявках участников по показателю «Базовая длина волны источника когерентного света» было указано разное значение величины. В связи с этим заказчиком был проанализирован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(далее - Реестр) на сайте Федеральной службы по надзору в сфере здравоохранения (далее - Росздравнадзор) на предмет наличия информации о предлагаемом участниками оборудовании, и впоследствии сделан запрос (исх. № 77-11/452 от 08.06.2022 г.) уполномоченному представителю производителя медицинского оборудования АО «Трейдомед Инвест» для уточнения информации о медицинском изделии.</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официальному ответу уполномоченного представителя производителя медицинского изделия АО «Трейдомед Инвест» (исх. № 52 от</w:t>
      </w:r>
    </w:p>
    <w:p>
      <w:pPr>
        <w:pStyle w:val="Style5"/>
        <w:numPr>
          <w:ilvl w:val="0"/>
          <w:numId w:val="7"/>
        </w:numPr>
        <w:tabs>
          <w:tab w:leader="none" w:pos="1460" w:val="left"/>
        </w:tabs>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г.), верным значением показателя «Базовая длина волны источника когерентного света» является 840 нм, что также указано в Инструкции к медицинскому оборудованию, опубликованной в Реестре медицинских изделий на сайте Росздравнадзора.</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numPr>
          <w:ilvl w:val="0"/>
          <w:numId w:val="9"/>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9"/>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numPr>
          <w:ilvl w:val="0"/>
          <w:numId w:val="9"/>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5"/>
        <w:numPr>
          <w:ilvl w:val="0"/>
          <w:numId w:val="9"/>
        </w:numPr>
        <w:widowControl w:val="0"/>
        <w:keepNext w:val="0"/>
        <w:keepLines w:val="0"/>
        <w:shd w:val="clear" w:color="auto" w:fill="auto"/>
        <w:bidi w:val="0"/>
        <w:jc w:val="both"/>
        <w:spacing w:before="0" w:after="0" w:line="312" w:lineRule="exact"/>
        <w:ind w:left="20" w:right="0" w:firstLine="72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numPr>
          <w:ilvl w:val="0"/>
          <w:numId w:val="9"/>
        </w:numPr>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numPr>
          <w:ilvl w:val="0"/>
          <w:numId w:val="9"/>
        </w:numPr>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numPr>
          <w:ilvl w:val="0"/>
          <w:numId w:val="9"/>
        </w:numPr>
        <w:widowControl w:val="0"/>
        <w:keepNext w:val="0"/>
        <w:keepLines w:val="0"/>
        <w:shd w:val="clear" w:color="auto" w:fill="auto"/>
        <w:bidi w:val="0"/>
        <w:jc w:val="both"/>
        <w:spacing w:before="0" w:after="0" w:line="312" w:lineRule="exact"/>
        <w:ind w:left="0" w:right="0" w:firstLine="720"/>
      </w:pPr>
      <w:r>
        <w:rPr>
          <w:lang w:val="ru-RU" w:eastAsia="ru-RU" w:bidi="ru-RU"/>
          <w:w w:val="100"/>
          <w:spacing w:val="0"/>
          <w:color w:val="000000"/>
          <w:position w:val="0"/>
        </w:rPr>
        <w:t xml:space="preserve"> предусмотренных ч. 6 ст. 45 Закона о контрактной системе;</w:t>
      </w:r>
    </w:p>
    <w:p>
      <w:pPr>
        <w:pStyle w:val="Style5"/>
        <w:numPr>
          <w:ilvl w:val="0"/>
          <w:numId w:val="9"/>
        </w:numPr>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5"/>
        <w:numPr>
          <w:ilvl w:val="0"/>
          <w:numId w:val="9"/>
        </w:numPr>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 xml:space="preserve"> указания информации о предложении участника закупки, предусмотренном п. 3 или п. 4 ч. 1 ст. 43 Закона о контрактной системе.</w:t>
      </w:r>
    </w:p>
    <w:p>
      <w:pPr>
        <w:pStyle w:val="Style5"/>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Таким образом,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электронном аукционе, является правомерным.</w:t>
      </w:r>
    </w:p>
    <w:p>
      <w:pPr>
        <w:pStyle w:val="Style5"/>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Вместе с тем, в ходе проведения внеплановой проверки Комиссией Управления установлено следующее.</w:t>
      </w:r>
    </w:p>
    <w:p>
      <w:pPr>
        <w:pStyle w:val="Style5"/>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Согласно ч.1 ст.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5"/>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В соответствии с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 «а» п. 2 ч.6 ст. 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 5 ч. 2 ст. 42 Закона о контрактной системе, который должен содержать:</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а) информацию, предусмотренную ч. 6 ст. 30, пп. 1, 2, 5 - 8, 10, 17, 18 и 20 ч. 1 ст. 42 Закона о контрактной системе;</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б) цену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 14 Закона о контрактной системе, положений ст. 28 и 29 Закона о контрактной системе, цену каждого отдельного этапа исполнения контракта, определенную в соответствии с ч. 2 ст. 34 Закона о контрактной системе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 14 Закона о контрактной системе, положений ст. 28 и 29 Закона о контрактной системе (в случае, предусмотренном ч. 24 ст. 22 Закона о контрактной системе).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Законом о контрактной системе);</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w w:val="100"/>
          <w:spacing w:val="0"/>
          <w:color w:val="000000"/>
          <w:position w:val="0"/>
        </w:rPr>
        <w:t>д) информацию, предусмотренную пп. «а», «б», «г», «е» и «п» п. 1, пп. «а» и «б» п. 2 ч. 1 ст. 43 Закона о контрактной системе, а также информацию, предусмотренную пп. «г» п. 2 ст. 43 Закона о контрактной системе, в случае проведения электронного конкурса. При этом информация, предусмотренная пп. «а», «б», «г» и «е» п. 1 ч. 1 ст.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pPr>
        <w:pStyle w:val="Style5"/>
        <w:tabs>
          <w:tab w:leader="none" w:pos="1048" w:val="left"/>
        </w:tabs>
        <w:widowControl w:val="0"/>
        <w:keepNext w:val="0"/>
        <w:keepLines w:val="0"/>
        <w:shd w:val="clear" w:color="auto" w:fill="auto"/>
        <w:bidi w:val="0"/>
        <w:jc w:val="both"/>
        <w:spacing w:before="0" w:after="0" w:line="312" w:lineRule="exact"/>
        <w:ind w:left="0" w:right="0" w:firstLine="680"/>
      </w:pPr>
      <w:r>
        <w:rPr>
          <w:lang w:val="ru-RU" w:eastAsia="ru-RU" w:bidi="ru-RU"/>
          <w:w w:val="100"/>
          <w:spacing w:val="0"/>
          <w:color w:val="000000"/>
          <w:position w:val="0"/>
        </w:rPr>
        <w:t>е)</w:t>
        <w:tab/>
        <w:t>иные документы (при наличии).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 xml:space="preserve">Согласно спецификации (Приложение №1 к проекту контракта № 117/22) Победителем электронного аукциона представлены сведения о товаре «Система оптической когерентной томографии </w:t>
      </w:r>
      <w:r>
        <w:rPr>
          <w:lang w:val="en-US" w:eastAsia="en-US" w:bidi="en-US"/>
          <w:w w:val="100"/>
          <w:spacing w:val="0"/>
          <w:color w:val="000000"/>
          <w:position w:val="0"/>
        </w:rPr>
        <w:t xml:space="preserve">SOLIX </w:t>
      </w:r>
      <w:r>
        <w:rPr>
          <w:lang w:val="ru-RU" w:eastAsia="ru-RU" w:bidi="ru-RU"/>
          <w:w w:val="100"/>
          <w:spacing w:val="0"/>
          <w:color w:val="000000"/>
          <w:position w:val="0"/>
        </w:rPr>
        <w:t xml:space="preserve">(со встроенной фундус-камерой), </w:t>
      </w:r>
      <w:r>
        <w:rPr>
          <w:lang w:val="en-US" w:eastAsia="en-US" w:bidi="en-US"/>
          <w:w w:val="100"/>
          <w:spacing w:val="0"/>
          <w:color w:val="000000"/>
          <w:position w:val="0"/>
        </w:rPr>
        <w:t xml:space="preserve">Optovue, Inc., </w:t>
      </w:r>
      <w:r>
        <w:rPr>
          <w:lang w:val="ru-RU" w:eastAsia="ru-RU" w:bidi="ru-RU"/>
          <w:w w:val="100"/>
          <w:spacing w:val="0"/>
          <w:color w:val="000000"/>
          <w:position w:val="0"/>
        </w:rPr>
        <w:t>США», в частности п.2.1 «Базовая длина волны источника когерентного света: 850 нм», что противоречит показателю, указанному в составе заявки победителя.</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указанное значение в спецификации к проекту контракта является следствием технической ошибки.</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Кроме того, представитель Заказчика пояснил, что 27.06.2022 внес изменение в спецификацию проекта контракта, устранив данное нарушение</w:t>
      </w:r>
    </w:p>
    <w:p>
      <w:pPr>
        <w:pStyle w:val="Style5"/>
        <w:tabs>
          <w:tab w:leader="none" w:pos="5150" w:val="right"/>
          <w:tab w:leader="none" w:pos="5419" w:val="left"/>
        </w:tabs>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Таким образом, Комиссия Управления приходит к выводу о нарушении Заказчиком положений ст. 34, ст.51 Закона о контрактной системе, ответственность за которое предусмотрена ч.1</w:t>
        <w:tab/>
        <w:t>ст.7.32</w:t>
        <w:tab/>
        <w:t>Кодекса Российской Федерации об</w:t>
      </w:r>
    </w:p>
    <w:p>
      <w:pPr>
        <w:pStyle w:val="Style5"/>
        <w:widowControl w:val="0"/>
        <w:keepNext w:val="0"/>
        <w:keepLines w:val="0"/>
        <w:shd w:val="clear" w:color="auto" w:fill="auto"/>
        <w:bidi w:val="0"/>
        <w:jc w:val="both"/>
        <w:spacing w:before="0" w:after="0" w:line="312" w:lineRule="exact"/>
        <w:ind w:left="0" w:right="0" w:firstLine="0"/>
      </w:pPr>
      <w:r>
        <w:rPr>
          <w:lang w:val="ru-RU" w:eastAsia="ru-RU" w:bidi="ru-RU"/>
          <w:w w:val="100"/>
          <w:spacing w:val="0"/>
          <w:color w:val="000000"/>
          <w:position w:val="0"/>
        </w:rPr>
        <w:t>административных правонарушениях.</w:t>
      </w:r>
    </w:p>
    <w:p>
      <w:pPr>
        <w:pStyle w:val="Style5"/>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3"/>
        <w:widowControl w:val="0"/>
        <w:keepNext/>
        <w:keepLines/>
        <w:shd w:val="clear" w:color="auto" w:fill="auto"/>
        <w:bidi w:val="0"/>
        <w:spacing w:before="0" w:after="300"/>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1"/>
        </w:numPr>
        <w:widowControl w:val="0"/>
        <w:keepNext w:val="0"/>
        <w:keepLines w:val="0"/>
        <w:shd w:val="clear" w:color="auto" w:fill="auto"/>
        <w:bidi w:val="0"/>
        <w:jc w:val="both"/>
        <w:spacing w:before="0" w:after="0" w:line="312" w:lineRule="exact"/>
        <w:ind w:left="0" w:right="20" w:firstLine="880"/>
      </w:pPr>
      <w:r>
        <w:rPr>
          <w:lang w:val="ru-RU" w:eastAsia="ru-RU" w:bidi="ru-RU"/>
          <w:w w:val="100"/>
          <w:spacing w:val="0"/>
          <w:color w:val="000000"/>
          <w:position w:val="0"/>
        </w:rPr>
        <w:t xml:space="preserve"> Признать жалобу ООО «НордВестСтрой» на действия ФГБУ НМИЦО ФМБА России необоснованной.</w:t>
      </w:r>
    </w:p>
    <w:p>
      <w:pPr>
        <w:pStyle w:val="Style5"/>
        <w:numPr>
          <w:ilvl w:val="0"/>
          <w:numId w:val="11"/>
        </w:numPr>
        <w:widowControl w:val="0"/>
        <w:keepNext w:val="0"/>
        <w:keepLines w:val="0"/>
        <w:shd w:val="clear" w:color="auto" w:fill="auto"/>
        <w:bidi w:val="0"/>
        <w:jc w:val="both"/>
        <w:spacing w:before="0" w:after="0" w:line="312" w:lineRule="exact"/>
        <w:ind w:left="0" w:right="20" w:firstLine="880"/>
      </w:pPr>
      <w:r>
        <w:rPr>
          <w:lang w:val="ru-RU" w:eastAsia="ru-RU" w:bidi="ru-RU"/>
          <w:w w:val="100"/>
          <w:spacing w:val="0"/>
          <w:color w:val="000000"/>
          <w:position w:val="0"/>
        </w:rPr>
        <w:t xml:space="preserve"> Признать в действиях Заказчика нарушения ст. 34, ст.51 Закона о контрактной системе.</w:t>
      </w:r>
    </w:p>
    <w:p>
      <w:pPr>
        <w:pStyle w:val="Style5"/>
        <w:numPr>
          <w:ilvl w:val="0"/>
          <w:numId w:val="11"/>
        </w:numPr>
        <w:widowControl w:val="0"/>
        <w:keepNext w:val="0"/>
        <w:keepLines w:val="0"/>
        <w:shd w:val="clear" w:color="auto" w:fill="auto"/>
        <w:bidi w:val="0"/>
        <w:jc w:val="both"/>
        <w:spacing w:before="0" w:after="0" w:line="312" w:lineRule="exact"/>
        <w:ind w:left="0" w:right="20" w:firstLine="88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об осуществлении закупок Заказчику не выдавать, так как выявленные нарушения устранены Заказчиком путём внесения изменений в проект государственного контракта, направленный на подпись участнику закупки.</w:t>
      </w:r>
    </w:p>
    <w:p>
      <w:pPr>
        <w:pStyle w:val="Style5"/>
        <w:numPr>
          <w:ilvl w:val="0"/>
          <w:numId w:val="11"/>
        </w:numPr>
        <w:widowControl w:val="0"/>
        <w:keepNext w:val="0"/>
        <w:keepLines w:val="0"/>
        <w:shd w:val="clear" w:color="auto" w:fill="auto"/>
        <w:bidi w:val="0"/>
        <w:jc w:val="both"/>
        <w:spacing w:before="0" w:after="304" w:line="312" w:lineRule="exact"/>
        <w:ind w:left="0" w:right="20" w:firstLine="8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31" w:line="307" w:lineRule="exact"/>
        <w:ind w:left="0" w:right="20" w:firstLine="68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9082" w:val="right"/>
          <w:tab w:leader="none" w:pos="101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С.И.</w:t>
        <w:tab/>
        <w:t>Казарин</w:t>
      </w:r>
    </w:p>
    <w:p>
      <w:pPr>
        <w:pStyle w:val="Style5"/>
        <w:tabs>
          <w:tab w:leader="none" w:pos="8338" w:val="center"/>
          <w:tab w:leader="none" w:pos="101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Матюшенко</w:t>
      </w:r>
    </w:p>
    <w:p>
      <w:pPr>
        <w:pStyle w:val="Style5"/>
        <w:widowControl w:val="0"/>
        <w:keepNext w:val="0"/>
        <w:keepLines w:val="0"/>
        <w:shd w:val="clear" w:color="auto" w:fill="auto"/>
        <w:bidi w:val="0"/>
        <w:jc w:val="right"/>
        <w:spacing w:before="0" w:after="499" w:line="643" w:lineRule="exact"/>
        <w:ind w:left="0" w:right="120" w:firstLine="0"/>
      </w:pPr>
      <w:r>
        <w:rPr>
          <w:lang w:val="ru-RU" w:eastAsia="ru-RU" w:bidi="ru-RU"/>
          <w:w w:val="100"/>
          <w:spacing w:val="0"/>
          <w:color w:val="000000"/>
          <w:position w:val="0"/>
        </w:rPr>
        <w:t>М.О. Мацнева</w:t>
      </w:r>
    </w:p>
    <w:p>
      <w:pPr>
        <w:pStyle w:val="Style15"/>
        <w:widowControl w:val="0"/>
        <w:keepNext w:val="0"/>
        <w:keepLines w:val="0"/>
        <w:shd w:val="clear" w:color="auto" w:fill="auto"/>
        <w:bidi w:val="0"/>
        <w:jc w:val="left"/>
        <w:spacing w:before="0" w:after="0"/>
        <w:ind w:left="0" w:right="8400" w:firstLine="0"/>
      </w:pPr>
      <w:r>
        <w:rPr>
          <w:lang w:val="ru-RU" w:eastAsia="ru-RU" w:bidi="ru-RU"/>
          <w:w w:val="100"/>
          <w:spacing w:val="0"/>
          <w:color w:val="000000"/>
          <w:position w:val="0"/>
        </w:rPr>
        <w:t>Исп.Мацнева М.О. тел.8(495)784-75-05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5" w:right="821"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4.15pt;margin-top:807.5pt;width:57.1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2022-38287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4pt;margin-top:811.55pt;width:57.1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2022-38287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6.15pt;margin-top:4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30.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09.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36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24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180" w:line="24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