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0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pt;height:5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2" w:after="191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90"/>
        <w:ind w:left="20" w:right="0" w:firstLine="0"/>
      </w:pPr>
      <w:bookmarkStart w:id="0" w:name="bookmark0"/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2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98" w:line="324" w:lineRule="exact"/>
        <w:ind w:left="20" w:right="708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78"/>
        <w:ind w:left="4420" w:right="1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«Матрамед» </w:t>
      </w:r>
      <w:r>
        <w:fldChar w:fldCharType="begin"/>
      </w:r>
      <w:r>
        <w:rPr>
          <w:rStyle w:val="CharStyle15"/>
        </w:rPr>
        <w:instrText> HYPERLINK "mailto:info@matramed.ru" </w:instrText>
      </w:r>
      <w:r>
        <w:fldChar w:fldCharType="separate"/>
      </w:r>
      <w:r>
        <w:rPr>
          <w:rStyle w:val="Hyperlink"/>
        </w:rPr>
        <w:t>info@matramed.ru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БУЗ ВО «Вологодская областная клиническая больница № 2»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■) </w:t>
      </w:r>
      <w:r>
        <w:rPr>
          <w:rStyle w:val="CharStyle18"/>
          <w:i/>
          <w:iCs/>
        </w:rPr>
        <w:t>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6" w:line="230" w:lineRule="exact"/>
        <w:ind w:left="4420" w:right="0" w:firstLine="0"/>
      </w:pPr>
      <w:r>
        <w:fldChar w:fldCharType="begin"/>
      </w:r>
      <w:r>
        <w:rPr>
          <w:rStyle w:val="CharStyle15"/>
        </w:rPr>
        <w:instrText> HYPERLINK "mailto:chgbl@chgbl.ru" </w:instrText>
      </w:r>
      <w:r>
        <w:fldChar w:fldCharType="separate"/>
      </w:r>
      <w:r>
        <w:rPr>
          <w:rStyle w:val="Hyperlink"/>
        </w:rPr>
        <w:t>chgbl@chgbl.ru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86" w:line="288" w:lineRule="exact"/>
        <w:ind w:left="44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КУ ВО «Центр закупок» </w:t>
      </w:r>
      <w:r>
        <w:fldChar w:fldCharType="begin"/>
      </w:r>
      <w:r>
        <w:rPr>
          <w:color w:val="000000"/>
        </w:rPr>
        <w:instrText> HYPERLINK "mailto:cz@cz.gov35.ru"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cz@cz.gov35.ru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565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РТС-тендер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565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035/06/50-336/2022</w:t>
      </w:r>
      <w:bookmarkEnd w:id="1"/>
    </w:p>
    <w:p>
      <w:pPr>
        <w:pStyle w:val="Style13"/>
        <w:tabs>
          <w:tab w:leader="none" w:pos="7893" w:val="right"/>
          <w:tab w:leader="none" w:pos="80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6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 июля 2022 г.</w:t>
        <w:tab/>
        <w:t>г.</w:t>
        <w:tab/>
        <w:t>Вологда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Предтеченская Е.Н. - временно исполняющий обязанности заместителя руководителя Управления Федеральной антимонопольной службы по Вологодской области, председатель комиссии,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Кузнецова Ю.Н. - старший государственный инспектор Управления Федеральной антимонопольной службы по Вологодской области, член Комиссии Управления,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Коренникова А.А. - старший государственный инспектор Управления Федеральной антимонопольной службы по Вологодской области, член Комиссии Управления</w:t>
      </w:r>
    </w:p>
    <w:p>
      <w:pPr>
        <w:pStyle w:val="Style13"/>
        <w:tabs>
          <w:tab w:leader="none" w:pos="95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«Мартамед» на действия комиссии при проведении запроса котировок в электронной форме «Поставка матрасов», извещение № 0830500000222001744. Заказчик - БУЗ ВО «Вологодская областная клиническая больница № 2» (далее - Заказчик), уполномоченное учреждение - КУ ВО «Центр закупок» (далее - Уполномоченное учреждение) при участии представителей</w:t>
        <w:tab/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60" w:right="22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44" w:left="1110" w:right="934" w:bottom="64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Заявителя - Мегелева А.О. (по доверенности), от Заказчика - Голубцовой Е.А. (по доверенности) от Уполномоченного учреждения - Агеевой К.Л.(по доверенности)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26.06.2022 в Единой информационной системе в сфере закупок (далее - ЕИС) </w:t>
      </w:r>
      <w:r>
        <w:rPr>
          <w:rStyle w:val="CharStyle24"/>
        </w:rPr>
        <w:t xml:space="preserve">размещена жалоба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</w:t>
      </w:r>
      <w:r>
        <w:rPr>
          <w:rStyle w:val="CharStyle24"/>
        </w:rPr>
        <w:t xml:space="preserve">«Матрамед» на действия комиссии при проведении запроса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котировок в электронной форме «Поставка матрасов», извещение № 0830500000222001744 (далее - запрос котировок, закупка),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(далеё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>'-^- Закон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приводит следующие доводы.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его заявка была неправомерно отклонена по причине отсутствия конкретных показателей товара, предлагаемого к поставке.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и Уполномоченным учреждением представлены возражения на жалобу. С доводом жалобы Заказчик и Уполномоченное учреждение не согласны, считают, что в Действиях комиссии нарушения отсутствуют и просят признать жалобу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Заседание Комиссии УФАС проведено посредством видеоконференцсвязи.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УФАС, рассмотрев представленные материалы, заслушав представителей Заявителя и Уполномоченного учреждения пришла к следующему выводу.</w:t>
      </w:r>
    </w:p>
    <w:p>
      <w:pPr>
        <w:pStyle w:val="Style13"/>
        <w:tabs>
          <w:tab w:leader="none" w:pos="1485" w:val="right"/>
          <w:tab w:leader="none" w:pos="16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V:</w:t>
        <w:tab/>
        <w:t>02.06.2022</w:t>
        <w:tab/>
        <w:t>в ЕИС размещен документ «Извещение о проведении запроса котировок 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форме от 14.06.2022 № 0830500000222001744».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858 999,55 руб.</w:t>
      </w:r>
    </w:p>
    <w:p>
      <w:pPr>
        <w:pStyle w:val="Style13"/>
        <w:tabs>
          <w:tab w:leader="none" w:pos="6236" w:val="right"/>
          <w:tab w:leader="none" w:pos="63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заявок:</w:t>
        <w:tab/>
        <w:t>21.06.2022</w:t>
        <w:tab/>
        <w:t>в 8:00.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7 Закона о контрактной системе открытость и прозрачность информации, указанной в ч. 1 настоящей статьи, обеспечиваются, в частности, путем ее размещения в единой информационной системе. Информация, предусмотренная Федеральным законом и размещенная в единой информационной системе, должна быть полной и достоверной.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положениям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 контракта.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 ст. 43 Закона о контрактной системе заявка участника должна содержать, в том числе, предложение участника закупки в отношении объекта закупки: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заявок Заказчик формирует с использованием электронной площадки протокол подведения итогов определения поставщица (подрядчика, исполнителя), который должен содержать информацию, предусмотренную п.п. 1, 2. 4 - 7 ч. 17 ст. 48 Закона о контрактной системе.</w:t>
      </w:r>
    </w:p>
    <w:p>
      <w:pPr>
        <w:pStyle w:val="Style13"/>
        <w:tabs>
          <w:tab w:leader="none" w:pos="980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ч.5 ст. 48 Закона о контрактной системе при рассмотрении первых частей заявок на участие в закупке соответствующая заявка подлежит отклонению в случаях:</w:t>
        <w:tab/>
        <w:t>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информации и документов, предусмотренных подпунктами "а", "б", "г" и "д" п. 2 ч. 1 ст. 43 Закона о контрактной системе, несоответствия таких информации и документов извещению об осуществлении закупки;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если в первой части заявки на участие в закупке содержится информация, предусмотренная пунктами 1, 3 и 4 ч. 1 ст. 43 Закона о контрактной системе;</w:t>
      </w:r>
    </w:p>
    <w:p>
      <w:pPr>
        <w:pStyle w:val="Style13"/>
        <w:tabs>
          <w:tab w:leader="none" w:pos="3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</w:t>
        <w:tab/>
        <w:t>&gt; 3) выявления недостоверной информации, содержащейся в первой части заявки на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участие в закупке.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определения поставщика от 22.06.2022 на участие в аукционе подано 17 заявок, 5 из них признаны несоответствующими.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извещения о закупке размещен электронный документ «Требование к содержанию, составу заявки на участие в закупке и инструкция по ее заполнению», согласно которому в случае, если в электронном документе «Описание объекта закупки (Техническое задание)» установлены максимальные и (или) минимальные характеристики (значения) показателей, заявка на участие в закупке должна содержать конкретные характеристики (значения) таких показателей. В данном случае наименование столбца «Характеристика (значение) показателя, которое может изменяться: «Минимальная характеристика (Минимальное значение), «Максимальная характеристика (Максимальное значение)» необходимо переименовать так чтобы членам комиссии по осуществлению закупки было понятно, что это конкретные характеристики (значения) показателей.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Заявка Заявителя (идентификационный номер заявки на участие в закупке 112130152) признана несоответствующей по следующим основаниям: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 заявке участника закупки отсутствуют конкретные характеристики (значения) предлагаемого участником закупки товара, соответствующие показателям объекта закупки, установленным в п.1 электронного документа «Описание объекта закупки (Техническое задание)» извещения об осуществлении закупки:</w:t>
      </w:r>
    </w:p>
    <w:p>
      <w:pPr>
        <w:pStyle w:val="Style25"/>
        <w:tabs>
          <w:tab w:leader="none" w:pos="9548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460"/>
      </w:pPr>
      <w:r>
        <w:rPr>
          <w:rStyle w:val="CharStyle27"/>
          <w:i w:val="0"/>
          <w:iCs w:val="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позициям 1-3 «Матрас» по показателю объекта закупки «Плотность цаполнителя»</w:t>
      </w:r>
      <w:r>
        <w:rPr>
          <w:rStyle w:val="CharStyle27"/>
          <w:i w:val="0"/>
          <w:iCs w:val="0"/>
        </w:rPr>
        <w:tab/>
      </w:r>
      <w:r>
        <w:rPr>
          <w:rStyle w:val="CharStyle27"/>
          <w:lang w:val="en-US" w:eastAsia="en-US" w:bidi="en-US"/>
          <w:i w:val="0"/>
          <w:iCs w:val="0"/>
        </w:rPr>
        <w:t>J</w:t>
      </w:r>
      <w:r>
        <w:rPr>
          <w:rStyle w:val="CharStyle27"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(характеристики (значения) показателей объекта закупки указаны участником в столбце (&lt;Конкретные характеристики (значения) показателей» - «Характеристика (значение) показателя, которое молсет изменяться»).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установлено Комиссией УФАС, показатели товара в заявке Заявителя указаны в столбце, имеющем двойное наименование «Конкретные характеристики (значения) показателей» - «Характеристика (значение) показателя, которое может изменяться».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указанные Заявителем характеристики показателей могут изменяться, а значит, не являются конкретными.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комиссии по осуществлению закупок по признанию заявки Заявителя несоответствующей требованиям извещения признаны правомерными.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УФАС провела внеплановую проверку, по результатам которой при проведении запроса котировок нарушения не выявлены.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6" w:line="288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УФАС, руководствуясь ст. 99, ст. 106 Закона о контрактной системе, Административным регламентом,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" w:line="230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«Матрамед» необоснованной.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54" w:line="230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приостановку процедуры заключения контракта.</w:t>
      </w:r>
    </w:p>
    <w:p>
      <w:pPr>
        <w:framePr w:h="1962" w:wrap="around" w:vAnchor="text" w:hAnchor="margin" w:x="4357" w:y="501"/>
        <w:widowControl w:val="0"/>
        <w:jc w:val="center"/>
        <w:rPr>
          <w:sz w:val="2"/>
          <w:szCs w:val="2"/>
        </w:rPr>
      </w:pPr>
      <w:r>
        <w:pict>
          <v:shape id="_x0000_s1027" type="#_x0000_t75" style="width:238pt;height:98pt;">
            <v:imagedata r:id="rId7" r:href="rId8"/>
          </v:shape>
        </w:pic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9" w:line="292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2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headerReference w:type="even" r:id="rId9"/>
      <w:headerReference w:type="first" r:id="rId10"/>
      <w:titlePg/>
      <w:footnotePr>
        <w:pos w:val="pageBottom"/>
        <w:numFmt w:val="decimal"/>
        <w:numRestart w:val="continuous"/>
      </w:footnotePr>
      <w:pgSz w:w="11909" w:h="16838"/>
      <w:pgMar w:top="944" w:left="1110" w:right="934" w:bottom="6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42.05pt;margin-top:34.75pt;width:4.3pt;height:7.5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1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8.15pt;margin-top:32.25pt;width:485.45pt;height:9.2pt;z-index:-188744063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9"/>
                  <w:tabs>
                    <w:tab w:leader="none" w:pos="9360" w:val="right"/>
                    <w:tab w:leader="none" w:pos="9709" w:val="right"/>
                  </w:tabs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1"/>
                  </w:rPr>
                  <w:t>3</w:t>
                </w:r>
                <w:r>
                  <w:rPr>
                    <w:rStyle w:val="CharStyle22"/>
                  </w:rPr>
                  <w:t>$;</w:t>
                  <w:tab/>
                </w:r>
                <w:r>
                  <w:rPr>
                    <w:rStyle w:val="CharStyle22"/>
                    <w:vertAlign w:val="superscript"/>
                  </w:rPr>
                  <w:t>;</w:t>
                </w:r>
                <w:r>
                  <w:rPr>
                    <w:rStyle w:val="CharStyle22"/>
                  </w:rPr>
                  <w:tab/>
                </w:r>
                <w:r>
                  <w:rPr>
                    <w:rStyle w:val="CharStyle23"/>
                  </w:rPr>
                  <w:t>V',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Заголовок №1 + 10 pt"/>
    <w:basedOn w:val="CharStyle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/>
      <w:iCs/>
      <w:u w:val="none"/>
      <w:strike w:val="0"/>
      <w:smallCaps w:val="0"/>
      <w:sz w:val="9"/>
      <w:szCs w:val="9"/>
      <w:rFonts w:ascii="Georgia" w:eastAsia="Georgia" w:hAnsi="Georgia" w:cs="Georgia"/>
    </w:rPr>
  </w:style>
  <w:style w:type="character" w:customStyle="1" w:styleId="CharStyle18">
    <w:name w:val="Основной текст (5) + Times New Roman,7 pt"/>
    <w:basedOn w:val="CharStyle17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Колонтитул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6"/>
      <w:szCs w:val="16"/>
      <w:rFonts w:ascii="Gulim" w:eastAsia="Gulim" w:hAnsi="Gulim" w:cs="Gulim"/>
    </w:rPr>
  </w:style>
  <w:style w:type="character" w:customStyle="1" w:styleId="CharStyle21">
    <w:name w:val="Колонтитул + Times New Roman,9 pt"/>
    <w:basedOn w:val="CharStyle20"/>
    <w:rPr>
      <w:lang w:val="ru-RU" w:eastAsia="ru-RU" w:bidi="ru-RU"/>
      <w:sz w:val="18"/>
      <w:szCs w:val="1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2">
    <w:name w:val="Колонтитул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Колонтитул + Candara,6 pt,Интервал 2 pt"/>
    <w:basedOn w:val="CharStyle20"/>
    <w:rPr>
      <w:lang w:val="ru-RU" w:eastAsia="ru-RU" w:bidi="ru-RU"/>
      <w:sz w:val="12"/>
      <w:szCs w:val="12"/>
      <w:rFonts w:ascii="Candara" w:eastAsia="Candara" w:hAnsi="Candara" w:cs="Candara"/>
      <w:w w:val="100"/>
      <w:spacing w:val="40"/>
      <w:color w:val="000000"/>
      <w:position w:val="0"/>
    </w:rPr>
  </w:style>
  <w:style w:type="character" w:customStyle="1" w:styleId="CharStyle24">
    <w:name w:val="Основной текст + 12 pt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7">
    <w:name w:val="Основной текст (6) + Не курсив,Интервал 1 pt"/>
    <w:basedOn w:val="CharStyle26"/>
    <w:rPr>
      <w:lang w:val="ru-RU" w:eastAsia="ru-RU" w:bidi="ru-RU"/>
      <w:i/>
      <w:iCs/>
      <w:w w:val="100"/>
      <w:spacing w:val="3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240" w:line="24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240" w:after="240" w:line="30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before="6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right"/>
      <w:spacing w:line="0" w:lineRule="exact"/>
    </w:pPr>
    <w:rPr>
      <w:b w:val="0"/>
      <w:bCs w:val="0"/>
      <w:i/>
      <w:iCs/>
      <w:u w:val="none"/>
      <w:strike w:val="0"/>
      <w:smallCaps w:val="0"/>
      <w:sz w:val="9"/>
      <w:szCs w:val="9"/>
      <w:rFonts w:ascii="Georgia" w:eastAsia="Georgia" w:hAnsi="Georgia" w:cs="Georgia"/>
    </w:rPr>
  </w:style>
  <w:style w:type="paragraph" w:customStyle="1" w:styleId="Style19">
    <w:name w:val="Колонтитул"/>
    <w:basedOn w:val="Normal"/>
    <w:link w:val="CharStyle2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Gulim" w:eastAsia="Gulim" w:hAnsi="Gulim" w:cs="Gulim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both"/>
      <w:spacing w:line="284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