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jc w:val="left"/>
        <w:spacing w:before="0" w:after="307" w:line="260" w:lineRule="exact"/>
        <w:ind w:left="20" w:right="0" w:firstLine="0"/>
      </w:pPr>
      <w:r>
        <w:rPr>
          <w:lang w:val="ru-RU" w:eastAsia="ru-RU" w:bidi="ru-RU"/>
          <w:w w:val="100"/>
          <w:spacing w:val="0"/>
          <w:color w:val="000000"/>
          <w:position w:val="0"/>
        </w:rPr>
        <w:t>ФГБУ «ЦЛАТИ ПО ЦФО»</w:t>
      </w:r>
    </w:p>
    <w:p>
      <w:pPr>
        <w:pStyle w:val="Style20"/>
        <w:widowControl w:val="0"/>
        <w:keepNext w:val="0"/>
        <w:keepLines w:val="0"/>
        <w:shd w:val="clear" w:color="auto" w:fill="auto"/>
        <w:bidi w:val="0"/>
        <w:jc w:val="left"/>
        <w:spacing w:before="0" w:after="346" w:line="317" w:lineRule="exact"/>
        <w:ind w:left="20" w:right="0" w:firstLine="0"/>
      </w:pPr>
      <w:r>
        <w:rPr>
          <w:lang w:val="ru-RU" w:eastAsia="ru-RU" w:bidi="ru-RU"/>
          <w:w w:val="100"/>
          <w:spacing w:val="0"/>
          <w:color w:val="000000"/>
          <w:position w:val="0"/>
        </w:rPr>
        <w:t>ул. Зоологическая, д. 26, стр. 1, г. Москва, 123056</w:t>
      </w:r>
    </w:p>
    <w:p>
      <w:pPr>
        <w:pStyle w:val="Style20"/>
        <w:widowControl w:val="0"/>
        <w:keepNext w:val="0"/>
        <w:keepLines w:val="0"/>
        <w:shd w:val="clear" w:color="auto" w:fill="auto"/>
        <w:bidi w:val="0"/>
        <w:jc w:val="left"/>
        <w:spacing w:before="0" w:after="307" w:line="260" w:lineRule="exact"/>
        <w:ind w:left="20" w:right="0" w:firstLine="0"/>
      </w:pPr>
      <w:r>
        <w:rPr>
          <w:lang w:val="ru-RU" w:eastAsia="ru-RU" w:bidi="ru-RU"/>
          <w:w w:val="100"/>
          <w:spacing w:val="0"/>
          <w:color w:val="000000"/>
          <w:position w:val="0"/>
        </w:rPr>
        <w:t>ООО «Научное оборудование НВ-ЛАБ»</w:t>
      </w:r>
    </w:p>
    <w:p>
      <w:pPr>
        <w:pStyle w:val="Style20"/>
        <w:widowControl w:val="0"/>
        <w:keepNext w:val="0"/>
        <w:keepLines w:val="0"/>
        <w:shd w:val="clear" w:color="auto" w:fill="auto"/>
        <w:bidi w:val="0"/>
        <w:jc w:val="left"/>
        <w:spacing w:before="0" w:after="0" w:line="317" w:lineRule="exact"/>
        <w:ind w:left="20" w:right="0" w:firstLine="0"/>
        <w:sectPr>
          <w:headerReference w:type="even" r:id="rId7"/>
          <w:headerReference w:type="default" r:id="rId8"/>
          <w:footerReference w:type="even" r:id="rId9"/>
          <w:footerReference w:type="first" r:id="rId10"/>
          <w:titlePg/>
          <w:footnotePr>
            <w:pos w:val="pageBottom"/>
            <w:numFmt w:val="decimal"/>
            <w:numRestart w:val="continuous"/>
          </w:footnotePr>
          <w:type w:val="continuous"/>
          <w:pgSz w:w="11909" w:h="16838"/>
          <w:pgMar w:top="974" w:left="885" w:right="986" w:bottom="340" w:header="0" w:footer="3" w:gutter="0"/>
          <w:rtlGutter w:val="0"/>
          <w:cols w:num="2" w:space="720" w:equalWidth="0">
            <w:col w:w="3941" w:space="1325"/>
            <w:col w:w="4771"/>
          </w:cols>
          <w:noEndnote/>
          <w:docGrid w:linePitch="360"/>
        </w:sectPr>
      </w:pPr>
      <w:r>
        <w:rPr>
          <w:lang w:val="ru-RU" w:eastAsia="ru-RU" w:bidi="ru-RU"/>
          <w:w w:val="100"/>
          <w:spacing w:val="0"/>
          <w:color w:val="000000"/>
          <w:position w:val="0"/>
        </w:rPr>
        <w:t>ул. Богородский Вал, д. 3, стр.101, оф. 301, г. Москва, 107076</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 w:after="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11269" w:val="center"/>
          <w:tab w:leader="none" w:pos="12397" w:val="right"/>
        </w:tabs>
        <w:widowControl w:val="0"/>
        <w:keepNext w:val="0"/>
        <w:keepLines w:val="0"/>
        <w:shd w:val="clear" w:color="auto" w:fill="auto"/>
        <w:bidi w:val="0"/>
        <w:jc w:val="left"/>
        <w:spacing w:before="0" w:after="0"/>
        <w:ind w:left="2240" w:right="2240" w:firstLine="2160"/>
      </w:pPr>
      <w:r>
        <w:rPr>
          <w:lang w:val="ru-RU" w:eastAsia="ru-RU" w:bidi="ru-RU"/>
          <w:w w:val="100"/>
          <w:spacing w:val="0"/>
          <w:color w:val="000000"/>
          <w:position w:val="0"/>
        </w:rPr>
        <w:t>РЕШЕНИЕ по делу № 077/06/106-10017/2022 о нарушении законодательства о контрактной системе</w:t>
      </w:r>
    </w:p>
    <w:p>
      <w:pPr>
        <w:pStyle w:val="Style24"/>
        <w:numPr>
          <w:ilvl w:val="0"/>
          <w:numId w:val="1"/>
        </w:numPr>
        <w:tabs>
          <w:tab w:leader="none" w:pos="9069" w:val="center"/>
          <w:tab w:leader="none" w:pos="10197" w:val="right"/>
          <w:tab w:leader="none" w:pos="8997"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w:t>
        <w:tab/>
        <w:t>Москва</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Председательствующего — главного специалиста-эксперта отдела обжалования государственных закупок Н.А. Узкого,</w:t>
      </w:r>
    </w:p>
    <w:p>
      <w:pPr>
        <w:pStyle w:val="Style20"/>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Членов Комиссии:</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А.З. Касимовой,</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Специалиста-эксперта отдела обжалования государственных закупок Е.О. Сгибнева,</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 xml:space="preserve">рассмотрение жалобы проводилось дистанционно (посредством 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 </w:t>
      </w:r>
      <w:r>
        <w:rPr>
          <w:lang w:val="en-US" w:eastAsia="en-US" w:bidi="en-US"/>
          <w:w w:val="100"/>
          <w:spacing w:val="0"/>
          <w:color w:val="000000"/>
          <w:position w:val="0"/>
        </w:rPr>
        <w:t>nCoV.,</w:t>
      </w:r>
    </w:p>
    <w:p>
      <w:pPr>
        <w:pStyle w:val="Style20"/>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при участии представителей:</w:t>
      </w:r>
    </w:p>
    <w:p>
      <w:pPr>
        <w:pStyle w:val="Style20"/>
        <w:widowControl w:val="0"/>
        <w:keepNext w:val="0"/>
        <w:keepLines w:val="0"/>
        <w:shd w:val="clear" w:color="auto" w:fill="auto"/>
        <w:bidi w:val="0"/>
        <w:jc w:val="both"/>
        <w:spacing w:before="0" w:after="0" w:line="322" w:lineRule="exact"/>
        <w:ind w:left="40" w:right="0" w:firstLine="700"/>
      </w:pPr>
      <w:r>
        <w:rPr>
          <w:lang w:val="ru-RU" w:eastAsia="ru-RU" w:bidi="ru-RU"/>
          <w:w w:val="100"/>
          <w:spacing w:val="0"/>
          <w:color w:val="000000"/>
          <w:position w:val="0"/>
        </w:rPr>
        <w:t>ФГБУ «ЦЛАТИ ПО ЦФО»: С.В. Мизяйкина (по дов. №103 от 17.05.2022),</w:t>
      </w:r>
    </w:p>
    <w:p>
      <w:pPr>
        <w:pStyle w:val="Style20"/>
        <w:widowControl w:val="0"/>
        <w:keepNext w:val="0"/>
        <w:keepLines w:val="0"/>
        <w:shd w:val="clear" w:color="auto" w:fill="auto"/>
        <w:bidi w:val="0"/>
        <w:jc w:val="both"/>
        <w:spacing w:before="0" w:after="0" w:line="322" w:lineRule="exact"/>
        <w:ind w:left="40" w:right="20" w:firstLine="700"/>
      </w:pPr>
      <w:r>
        <w:rPr>
          <w:lang w:val="ru-RU" w:eastAsia="ru-RU" w:bidi="ru-RU"/>
          <w:w w:val="100"/>
          <w:spacing w:val="0"/>
          <w:color w:val="000000"/>
          <w:position w:val="0"/>
        </w:rPr>
        <w:t>ООО «Научное оборудование НВ-ЛАБ»: И.А. Горшениной (по дов. №б/н от 21.06.2022),</w:t>
      </w:r>
    </w:p>
    <w:p>
      <w:pPr>
        <w:pStyle w:val="Style22"/>
        <w:framePr w:w="1685" w:h="394" w:wrap="around" w:vAnchor="text" w:hAnchor="margin" w:x="385" w:y="176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000497712798</w:t>
      </w:r>
    </w:p>
    <w:p>
      <w:pPr>
        <w:pStyle w:val="Style20"/>
        <w:widowControl w:val="0"/>
        <w:keepNext w:val="0"/>
        <w:keepLines w:val="0"/>
        <w:shd w:val="clear" w:color="auto" w:fill="auto"/>
        <w:bidi w:val="0"/>
        <w:jc w:val="both"/>
        <w:spacing w:before="0" w:after="116" w:line="322" w:lineRule="exact"/>
        <w:ind w:left="40" w:right="20" w:firstLine="700"/>
      </w:pPr>
      <w:r>
        <w:rPr>
          <w:lang w:val="ru-RU" w:eastAsia="ru-RU" w:bidi="ru-RU"/>
          <w:w w:val="100"/>
          <w:spacing w:val="0"/>
          <w:color w:val="000000"/>
          <w:position w:val="0"/>
        </w:rPr>
        <w:t>рассмотрев жалобу ООО «Научное оборудование НВ-ЛАБ» (далее — Заявитель) на действия ФГБУ «ЦЛАТИ ПО ЦФО» (далее — Заказчик) при проведении электронного аукциона на право заключения государственного контракта на поставку ионизатора для нужд ФГБУ «ЦЛАТИ по ЦФО» (Закупка № 0373100052922000017) (далее - электронный аукцион, аукцион) в соответствии с</w:t>
      </w:r>
    </w:p>
    <w:p>
      <w:pPr>
        <w:framePr w:h="461" w:wrap="notBeside" w:vAnchor="text" w:hAnchor="text" w:y="1"/>
        <w:widowControl w:val="0"/>
        <w:jc w:val="left"/>
        <w:rPr>
          <w:sz w:val="2"/>
          <w:szCs w:val="2"/>
        </w:rPr>
      </w:pPr>
      <w:r>
        <w:pict>
          <v:shape id="_x0000_s1031" type="#_x0000_t75" style="width:126pt;height:23pt;">
            <v:imagedata r:id="rId11" r:href="rId12"/>
          </v:shape>
        </w:pict>
      </w:r>
    </w:p>
    <w:p>
      <w:pPr>
        <w:widowControl w:val="0"/>
        <w:rPr>
          <w:sz w:val="2"/>
          <w:szCs w:val="2"/>
        </w:rPr>
      </w:pPr>
    </w:p>
    <w:p>
      <w:pPr>
        <w:widowControl w:val="0"/>
        <w:rPr>
          <w:sz w:val="2"/>
          <w:szCs w:val="2"/>
        </w:rPr>
        <w:sectPr>
          <w:type w:val="continuous"/>
          <w:pgSz w:w="11909" w:h="16838"/>
          <w:pgMar w:top="959" w:left="818" w:right="847" w:bottom="325" w:header="0" w:footer="3" w:gutter="0"/>
          <w:rtlGutter w:val="0"/>
          <w:cols w:space="720"/>
          <w:noEndnote/>
          <w:docGrid w:linePitch="360"/>
        </w:sectPr>
      </w:pPr>
    </w:p>
    <w:p>
      <w:pPr>
        <w:pStyle w:val="Style20"/>
        <w:widowControl w:val="0"/>
        <w:keepNext w:val="0"/>
        <w:keepLines w:val="0"/>
        <w:shd w:val="clear" w:color="auto" w:fill="auto"/>
        <w:bidi w:val="0"/>
        <w:jc w:val="both"/>
        <w:spacing w:before="0" w:after="349" w:line="322" w:lineRule="exact"/>
        <w:ind w:left="20" w:right="20" w:firstLine="0"/>
      </w:pPr>
      <w:r>
        <w:rPr>
          <w:lang w:val="ru-RU" w:eastAsia="ru-RU" w:bidi="ru-RU"/>
          <w:w w:val="100"/>
          <w:spacing w:val="0"/>
          <w:color w:val="000000"/>
          <w:position w:val="0"/>
        </w:rPr>
        <w:t>Федеральным законом от 05.04.2013 №44-ФЗ «О контрактной системе в сфере закупок товаров, работ, услуг для обеспечения государственных и мун</w:t>
      </w:r>
      <w:r>
        <w:rPr>
          <w:rStyle w:val="CharStyle26"/>
        </w:rPr>
        <w:t>ици</w:t>
      </w:r>
      <w:r>
        <w:rPr>
          <w:lang w:val="ru-RU" w:eastAsia="ru-RU" w:bidi="ru-RU"/>
          <w:w w:val="100"/>
          <w:spacing w:val="0"/>
          <w:color w:val="000000"/>
          <w:position w:val="0"/>
        </w:rPr>
        <w:t>пальных нужд» (далее - Закон о контрактной системе), Административным регламентом, утвержденным Приказом ФАС России от 19.11.2014 №727/14,</w:t>
      </w:r>
    </w:p>
    <w:p>
      <w:pPr>
        <w:pStyle w:val="Style27"/>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 Московского УФАС России №ЕИ/34149/22 от 28.06.2022, Комиссия Управления установила следующее.</w:t>
      </w:r>
    </w:p>
    <w:p>
      <w:pPr>
        <w:pStyle w:val="Style20"/>
        <w:numPr>
          <w:ilvl w:val="0"/>
          <w:numId w:val="3"/>
        </w:numPr>
        <w:tabs>
          <w:tab w:leader="none" w:pos="2156" w:val="left"/>
          <w:tab w:leader="none" w:pos="3303" w:val="right"/>
          <w:tab w:leader="none" w:pos="3606" w:val="left"/>
          <w:tab w:leader="none" w:pos="1048"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доводам жалобы при проведении рассматриваемой закупочной процедуры Заказчиком неправомерно применены условия допуска в соответствии с положениями приказа Министерства финансов Российской Федерации от 04.06.2018</w:t>
        <w:tab/>
        <w:t>№</w:t>
        <w:tab/>
        <w:t>126н</w:t>
        <w:tab/>
        <w:t>«Об условиях допуска товаров, происходящих</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 126н), что влечет за собой направление проекта государственного контракта на подписание победителю аукциона в лице ООО «Научное оборудование НВ-ЛАБ» с ценой контракта со снижением на 15 процентов от предложенной победителем.</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16.06.2022 №ИЭА1 участник закупки ООО «Научное оборудование НВ-ЛАБ» признано победителем электронного аукциона, ценовое предложение которого составило 471 349,00 рублей.</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720"/>
        <w:sectPr>
          <w:pgSz w:w="11909" w:h="16838"/>
          <w:pgMar w:top="1264" w:left="849" w:right="849" w:bottom="1134" w:header="0" w:footer="3" w:gutter="0"/>
          <w:rtlGutter w:val="0"/>
          <w:cols w:space="720"/>
          <w:noEndnote/>
          <w:docGrid w:linePitch="360"/>
        </w:sectPr>
      </w:pPr>
      <w:r>
        <w:rPr>
          <w:lang w:val="ru-RU" w:eastAsia="ru-RU" w:bidi="ru-RU"/>
          <w:w w:val="100"/>
          <w:spacing w:val="0"/>
          <w:color w:val="000000"/>
          <w:position w:val="0"/>
        </w:rPr>
        <w:t>На основании п.15 ч.1 ст.42 Закона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п.1 ч.2 ст.42 Закона о контрактной системе, извещение об осуществлении закупки должно содержать описание объекта закупки в соответствии со статьей 33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Комиссией Управления установлено, что в Извещении о проведении электронного аукциона, а также в п.10 Информационной карты извещения о проведении электронного аукциона указано на применение в рамках рассматриваемой закупки условий допуска товаров, происходящих из иностранного государства или группы иностранных государств, на основании положений приказа №126н.</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соответствии с пп. «а» п.1.3 приказа №126н при проведении аукциона контракт заключается по цене, сниженной на 15 процентов от предложенной победителем аукциона в случае, если заявка такого победителя содержит предложение о поставке товаров, указанных в Приложении,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п.2 приказа №126н положения пп.1.1-.1.3 п.1 приказа №126н не применяются при проведении конкурса, аукциона, запроса котировок, запроса предложений в случаях, если:</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а) конкурс, аукцион, запрос котировок, запрос предложений признается не состоявшимся в случаях, предусмотренных Федеральным законом;</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 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предложения о поставке товаров, указанных в Приложении и происходящих исключительно из государств - членов Евразийского экономического союза;</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все заявки (окончательные предложения) участников закупки, признанные в порядке, предусмотренном Федеральным законом, соответствующими требованиям документации о закупке, извещения о проведении запроса котировок, содержат предложение о поставке указанных в Приложении товаров, страной происхождения хотя бы одного из которых является иностранное государство (за исключением государств - членов Евразийского экономического союза).</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п.1.6 приказа №126н подтверждением страны происхождения товаров, указанных в Приложении, является указание (декларирование) участником закупки в заявке в соответствии с Федеральным законом наименования страны происхождения товара.</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20"/>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1) члены комиссии по осуществлению закупок:</w:t>
      </w:r>
    </w:p>
    <w:p>
      <w:pPr>
        <w:pStyle w:val="Style20"/>
        <w:tabs>
          <w:tab w:leader="none" w:pos="1100" w:val="left"/>
        </w:tabs>
        <w:widowControl w:val="0"/>
        <w:keepNext w:val="0"/>
        <w:keepLines w:val="0"/>
        <w:shd w:val="clear" w:color="auto" w:fill="auto"/>
        <w:bidi w:val="0"/>
        <w:jc w:val="both"/>
        <w:spacing w:before="0" w:after="0" w:line="432" w:lineRule="exact"/>
        <w:ind w:left="20" w:right="20" w:firstLine="720"/>
        <w:sectPr>
          <w:type w:val="continuous"/>
          <w:pgSz w:w="11909" w:h="16838"/>
          <w:pgMar w:top="947" w:left="849" w:right="849" w:bottom="376" w:header="0" w:footer="3" w:gutter="0"/>
          <w:rtlGutter w:val="0"/>
          <w:cols w:space="720"/>
          <w:noEndnote/>
          <w:docGrid w:linePitch="360"/>
        </w:sectPr>
      </w:pPr>
      <w:r>
        <w:rPr>
          <w:lang w:val="ru-RU" w:eastAsia="ru-RU" w:bidi="ru-RU"/>
          <w:w w:val="100"/>
          <w:spacing w:val="0"/>
          <w:color w:val="000000"/>
          <w:position w:val="0"/>
        </w:rPr>
        <w:t>а)</w:t>
        <w:tab/>
        <w:t xml:space="preserve">рассматривают заявки на участие в закупке, информацию и документы, </w:t>
      </w:r>
      <w:r>
        <w:rPr>
          <w:rStyle w:val="CharStyle29"/>
        </w:rPr>
        <w:t>2022-37410</w:t>
      </w:r>
    </w:p>
    <w:p>
      <w:pPr>
        <w:pStyle w:val="Style20"/>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контактной системе;</w:t>
      </w:r>
    </w:p>
    <w:p>
      <w:pPr>
        <w:pStyle w:val="Style20"/>
        <w:tabs>
          <w:tab w:leader="none" w:pos="1134" w:val="left"/>
        </w:tabs>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б)</w:t>
        <w:tab/>
        <w:t>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контактной системе. Заявке на участие в закупке победителя определения поставщика (подрядчика, исполнителя) присваивается первый номер.</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п.5 ч.1 ст.43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В силу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На заседании Комиссии Управления представитель Заявителя пояснил, что Заказчиком, на этапе заключения государственного контракта неправомерно применены преференции, предусмотренные приказом 126н, поскольку в рамках данной закупки не могут быть предложены к поставке ионизаторы российского происхождения (и/или из государств — членов Евразийского экономического союза), в связи с чем, по мнению Заявителя, нет необходимости применения Заказчиком условий допуска, предусмотренных пп. «а» п.1.3 приказа № 126н.</w:t>
      </w:r>
    </w:p>
    <w:p>
      <w:pPr>
        <w:pStyle w:val="Style20"/>
        <w:widowControl w:val="0"/>
        <w:keepNext w:val="0"/>
        <w:keepLines w:val="0"/>
        <w:shd w:val="clear" w:color="auto" w:fill="auto"/>
        <w:bidi w:val="0"/>
        <w:jc w:val="both"/>
        <w:spacing w:before="0" w:after="0" w:line="322" w:lineRule="exact"/>
        <w:ind w:left="20" w:right="20" w:firstLine="720"/>
      </w:pPr>
      <w:r>
        <w:rPr>
          <w:lang w:val="ru-RU" w:eastAsia="ru-RU" w:bidi="ru-RU"/>
          <w:w w:val="100"/>
          <w:spacing w:val="0"/>
          <w:color w:val="000000"/>
          <w:position w:val="0"/>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заседании Комиссии Управления представитель Заказчика пояснил, что в составе заявок участников закупки ИП Костеневич М.К. (идентификационный номер заявки 16) и ООО «Трейд Инвест» (идентификационный номер заявки 216) продекларирована страна происхождения товаров: Российская Федерация, ввиду чего к ООО «Научное оборудование НВ-ЛАБ» применены условия допуска в соответствии с положениями приказа № 126н.</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Таким образом, у аукционной комиссии имелись основания для применения п. 1.3 Приказа № 126н.</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силу ч.4 ст.106 Закона о контрактной системе обязанность доказывания нарушения Заказчиком своих прав и законных интересов лежит на подателе жалобы, однако, в составе жалобы, а также на заседании Комиссии Управления Заявителем не представлено документов и сведений, однозначно подтверждающих, что закупаемый товар не может быть произведен на территории Российской Федерации, а также не представлено доказательств, свидетельствующих о нарушении Заказчиком положений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На основании вышеизложенного, Комиссия Управления приходит к выводу, что решение Заказчика в части применения к победителю аукциона понижения предложенной цены контракта является правомерным и не противоречит требованиям приказа Приказа Минфина № 126н и Закона о контрактной системе.</w:t>
      </w:r>
    </w:p>
    <w:p>
      <w:pPr>
        <w:pStyle w:val="Style20"/>
        <w:numPr>
          <w:ilvl w:val="0"/>
          <w:numId w:val="3"/>
        </w:numPr>
        <w:tabs>
          <w:tab w:leader="none" w:pos="1105" w:val="left"/>
        </w:tabs>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Также в составе жалобы Заявитель указывает на то, что Заказчиком в нарушение ч.4 ст.51 Закона о контрактной системе в единой информационной системе в сфере закупок не размещена информация о причинах отказа учесть полностью или частично информацию, содержащуюся в протоколе разногласий.</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В соответствии с ч.1 ст.51 Закона о контрактной системе по результатам электронной процедуры контракт заключается с победителем определения поставщика (подрядчика, исполнителя), а в случаях, предусмотренных Законом о контрактной системе, с иным участником закупки (далее в настоящей статье - участник закупки, с которым заключается контракт) не ранее чем через десять дней (если Законом о контрактной системе не установлено иное) с даты размещения в единой информационной системе протокола подведения итогов определения поставщика (подрядчика, исполнителя), протокола, предусмотренного пп. «а» п. 2 ч.6 ст. 51 Закона о контрактной системе, после предоставления участником закупки, с которым заключается контракт, обеспечения исполнения контракта в соответствии с требованиями Закона о контрактной системе (если требование обеспечения исполнения контракта установлено в извещении об осуществлении закупки). Участники закупки, заявки которых не отозваны в соответствии с Законом о контрактной системе, обязаны подписать контракт в порядке, установленном ст. 51 Закона о контрактной системе.</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Согласно п.1 ч.2 ст.51 Закона о контрактной системе не позднее двух рабочих дней, следующих за днем размещения в единой информационной системе протоколов, указанных в ч.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 5 ч. 2 ст. 42 Закона о контрактной системе, который должен содержать:</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а) информацию, предусмотренную ч. 6 ст. 30, пп. 1, 2, 5 - 8, 10, 17, 18 и 20 ч. 1 ст. 42 Закона о контрактной системе;</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б) цену контракта, соответствующую цене контракта, предложенной в соответствии с Законом о контрактной системе участником закупки, с которым заключается контракт, с учетом положений нормативных правовых актов, принятых в соответствии со ст. 14 Закона о контрактной системе, положений ст. 28 и 29 Закона о контрактной системе, цену каждого отдельного этапа исполнения контракта, определенную в соответствии с ч. 2 ст. 34 Закона о контрактной системе (если проектом контракта предусмотрены отдельные этапы его исполнения). Предусмотренная настоящим подпунктом информация включается в проект контракта, за исключением случаев включения в него информации, предусмотренной подпунктами «в» или «г» настоящего пункта;</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в)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с учетом положений нормативных правовых актов, принятых в соответствии со ст. 14 Закона о контрактной системе, положений ст. 28 и 29 Закона о контрактной системе (в случае, предусмотренном ч. 24 ст. 22 Закона о контрактной системе).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г) размер платы, подлежащей внесению в соответствии с настоящим Федеральным законом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Законом о контрактной системе);</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д) информацию, предусмотренную пп. «а», «б», «г», «е» и «п» п. 1, пп. «а» и «б» п. 2 ч. 1 ст. 43 Закона о контрактной системе, а также информацию, предусмотренную пп. «г» п. 2 ст. 43 Закона о контрактной системе, в случае проведения электронного конкурса. При этом информация, предусмотренная пп. «а», «б», «г» и «е» п. 1 ч. 1 ст.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pPr>
        <w:pStyle w:val="Style20"/>
        <w:widowControl w:val="0"/>
        <w:keepNext w:val="0"/>
        <w:keepLines w:val="0"/>
        <w:shd w:val="clear" w:color="auto" w:fill="auto"/>
        <w:bidi w:val="0"/>
        <w:jc w:val="both"/>
        <w:spacing w:before="0" w:after="0" w:line="322" w:lineRule="exact"/>
        <w:ind w:left="20" w:right="0" w:firstLine="720"/>
      </w:pPr>
      <w:r>
        <w:rPr>
          <w:lang w:val="ru-RU" w:eastAsia="ru-RU" w:bidi="ru-RU"/>
          <w:w w:val="100"/>
          <w:spacing w:val="0"/>
          <w:color w:val="000000"/>
          <w:position w:val="0"/>
        </w:rPr>
        <w:t>е) иные документы (при наличии).</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На заседании Комиссии Управления установлено, что Заказчиком, в срок, установленный п.1 ч.2 ст.51 Закона о контрактной системе, направлен победителю электронного аукциона проект государственного контракта.</w:t>
      </w:r>
    </w:p>
    <w:p>
      <w:pPr>
        <w:pStyle w:val="Style20"/>
        <w:widowControl w:val="0"/>
        <w:keepNext w:val="0"/>
        <w:keepLines w:val="0"/>
        <w:shd w:val="clear" w:color="auto" w:fill="auto"/>
        <w:bidi w:val="0"/>
        <w:jc w:val="both"/>
        <w:spacing w:before="0" w:after="0" w:line="322" w:lineRule="exact"/>
        <w:ind w:left="20" w:right="40" w:firstLine="720"/>
      </w:pPr>
      <w:r>
        <w:rPr>
          <w:lang w:val="ru-RU" w:eastAsia="ru-RU" w:bidi="ru-RU"/>
          <w:w w:val="100"/>
          <w:spacing w:val="0"/>
          <w:color w:val="000000"/>
          <w:position w:val="0"/>
        </w:rPr>
        <w:t>Согласно пп. «а» п.2 ч.3 ст.51 Закона о контрактной системе не позднее пяти рабочих дней, следующих за днем размещения заказчиком в соответствии с ч. 2 ст.51 Закона о контрактной системе проекта контракта, участник закупки, с которым заключается контракт, формирует, подписывает усиленной электронной подписью лица, имеющего право действовать от имени участника закупки, и размещает на электронной площадке и в единой информационной системе (с использованием электронной площадки, без размещения на официальном сайте) протокол разногласий в случае наличия разногласий в отношении информации, включенной в проект контракта в соответствии с п. 1 ч. 2 ст. 51 Закона о контактной системе, с указанием информации, не соответствующей требованиям, установленным в извещении об осуществлении закупки, и положениям заявки такого участника закупки.</w:t>
      </w:r>
    </w:p>
    <w:p>
      <w:pPr>
        <w:pStyle w:val="Style20"/>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Воспользовавшись правом, предусмотренным пп. «а» п.2 ч.3 ст.51 Закона о контрактной системе, Заявителем 20.06.2022 направлен в адрес Заказчика протокол разногласий с указанием замечаний в части выявленных несоответствий.</w:t>
      </w:r>
    </w:p>
    <w:p>
      <w:pPr>
        <w:pStyle w:val="Style20"/>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В силу п.3 ч.4 ст.51 Закона о контрактной системе не позднее двух рабочих дней, следующих за днем размещения участником закупки, с которым заключается контракт, информации и документов в соответствии с ч. 3 ст. 53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без учета либо с частичным учетом информации, содержащейся в протоколе разногласий, размещенном участником закупки, с которым заключается контракт, в соответствии с п. 2 ч. 3 ст. 51 Закона о контрактной системе. </w:t>
      </w:r>
      <w:r>
        <w:rPr>
          <w:rStyle w:val="CharStyle31"/>
        </w:rPr>
        <w:t>При таком размещении заказчик также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(без размещения на официальном сайте) информацию о причинах отказа учесть полностью или частично информацию, содержащуюся в протоколе разногласий</w:t>
      </w:r>
      <w:r>
        <w:rPr>
          <w:lang w:val="ru-RU" w:eastAsia="ru-RU" w:bidi="ru-RU"/>
          <w:w w:val="100"/>
          <w:spacing w:val="0"/>
          <w:color w:val="000000"/>
          <w:position w:val="0"/>
        </w:rPr>
        <w:t>. При этом информация, предусмотренная пп. «б» п. 2 ч. 3 ст. 51 Закона о контрактной системе, подлежит обязательному учету.</w:t>
      </w:r>
    </w:p>
    <w:p>
      <w:pPr>
        <w:pStyle w:val="Style20"/>
        <w:numPr>
          <w:ilvl w:val="0"/>
          <w:numId w:val="5"/>
        </w:numPr>
        <w:tabs>
          <w:tab w:leader="none" w:pos="2238" w:val="left"/>
        </w:tabs>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Заказчиком повторно направлен проект контракта без учета содержащихся в протоколе разногласий замечаний победителя электронной процедуры.</w:t>
      </w:r>
    </w:p>
    <w:p>
      <w:pPr>
        <w:pStyle w:val="Style20"/>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При этом Комиссия Управления отмечает, что Заказчиком при повторном направлении проекта контракта не был размещен мотивированный отказ с причинами отказа учесть содержащиеся в протоколе разногласий замечания победителя.</w:t>
      </w:r>
    </w:p>
    <w:p>
      <w:pPr>
        <w:pStyle w:val="Style20"/>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На заседании Комиссии Управления представитель Заказчика согласился с вышеуказанным доводом жалобы и пояснил, что не размещение мотивированного отказ с причинами отказа учесть содержащиеся в протоколе разногласий замечания победителя произошло в следствие технической ошибки.</w:t>
      </w:r>
    </w:p>
    <w:p>
      <w:pPr>
        <w:pStyle w:val="Style20"/>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Таким образом, на основании имеющихся документов и сведений, а также с учетом пояснений представителя Заказчика, Комиссия Управления приходит к выводу об обоснованности данного довода жалобы и о нарушении Заказчиком положений п.3 ч.4 ст.51 Закона о контрактной системе, что также содержит признаки состава административного правонарушения, ответственность за которое</w:t>
        <w:br w:type="page"/>
        <w:t>предусмотрена ч.4.2 ст.7.30 Кодекса Российской Федерации об административных правонарушениях.</w:t>
      </w:r>
    </w:p>
    <w:p>
      <w:pPr>
        <w:pStyle w:val="Style20"/>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При этом на заседании Комиссии Управления установлено, что государственным заказчиком по итогам проведения электронного аукциона</w:t>
      </w:r>
    </w:p>
    <w:p>
      <w:pPr>
        <w:pStyle w:val="Style20"/>
        <w:numPr>
          <w:ilvl w:val="0"/>
          <w:numId w:val="7"/>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заключен государственный контракт.</w:t>
      </w:r>
    </w:p>
    <w:p>
      <w:pPr>
        <w:pStyle w:val="Style20"/>
        <w:widowControl w:val="0"/>
        <w:keepNext w:val="0"/>
        <w:keepLines w:val="0"/>
        <w:shd w:val="clear" w:color="auto" w:fill="auto"/>
        <w:bidi w:val="0"/>
        <w:jc w:val="both"/>
        <w:spacing w:before="0" w:after="349" w:line="322" w:lineRule="exact"/>
        <w:ind w:left="20" w:right="20" w:firstLine="70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7"/>
        <w:widowControl w:val="0"/>
        <w:keepNext/>
        <w:keepLines/>
        <w:shd w:val="clear" w:color="auto" w:fill="auto"/>
        <w:bidi w:val="0"/>
        <w:spacing w:before="0" w:after="303" w:line="260" w:lineRule="exact"/>
        <w:ind w:left="0" w:right="0" w:firstLine="0"/>
      </w:pPr>
      <w:bookmarkStart w:id="1" w:name="bookmark1"/>
      <w:r>
        <w:rPr>
          <w:lang w:val="ru-RU" w:eastAsia="ru-RU" w:bidi="ru-RU"/>
          <w:w w:val="100"/>
          <w:spacing w:val="0"/>
          <w:color w:val="000000"/>
          <w:position w:val="0"/>
        </w:rPr>
        <w:t>РЕШИЛА:</w:t>
      </w:r>
      <w:bookmarkEnd w:id="1"/>
    </w:p>
    <w:p>
      <w:pPr>
        <w:pStyle w:val="Style20"/>
        <w:numPr>
          <w:ilvl w:val="0"/>
          <w:numId w:val="9"/>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жалобу ООО «Научное оборудование НВ-ЛАБ» на действия ФГБУ «ЦЛАТИ ПО ЦФО» обоснованной.</w:t>
      </w:r>
    </w:p>
    <w:p>
      <w:pPr>
        <w:pStyle w:val="Style20"/>
        <w:numPr>
          <w:ilvl w:val="0"/>
          <w:numId w:val="9"/>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Признать в действиях Заказчика нарушение п.3 ч.4 ст.51 Закона о контрактной системе.</w:t>
      </w:r>
    </w:p>
    <w:p>
      <w:pPr>
        <w:pStyle w:val="Style20"/>
        <w:numPr>
          <w:ilvl w:val="0"/>
          <w:numId w:val="9"/>
        </w:numPr>
        <w:widowControl w:val="0"/>
        <w:keepNext w:val="0"/>
        <w:keepLines w:val="0"/>
        <w:shd w:val="clear" w:color="auto" w:fill="auto"/>
        <w:bidi w:val="0"/>
        <w:jc w:val="both"/>
        <w:spacing w:before="0" w:after="0" w:line="322" w:lineRule="exact"/>
        <w:ind w:left="20" w:right="20" w:firstLine="700"/>
      </w:pPr>
      <w:r>
        <w:rPr>
          <w:lang w:val="ru-RU" w:eastAsia="ru-RU" w:bidi="ru-RU"/>
          <w:w w:val="100"/>
          <w:spacing w:val="0"/>
          <w:color w:val="000000"/>
          <w:position w:val="0"/>
        </w:rPr>
        <w:t xml:space="preserve"> Обязательное для исполнения предписание об устранении нарушений законодательства о контрактной системе Заказчику не выдавать, поскольку по результатам проведения закупки заключен государственный контракт от</w:t>
      </w:r>
    </w:p>
    <w:p>
      <w:pPr>
        <w:pStyle w:val="Style20"/>
        <w:numPr>
          <w:ilvl w:val="0"/>
          <w:numId w:val="11"/>
        </w:numPr>
        <w:widowControl w:val="0"/>
        <w:keepNext w:val="0"/>
        <w:keepLines w:val="0"/>
        <w:shd w:val="clear" w:color="auto" w:fill="auto"/>
        <w:bidi w:val="0"/>
        <w:jc w:val="both"/>
        <w:spacing w:before="0" w:after="0" w:line="326" w:lineRule="exact"/>
        <w:ind w:left="20" w:right="20" w:firstLine="0"/>
      </w:pPr>
      <w:r>
        <w:rPr>
          <w:lang w:val="ru-RU" w:eastAsia="ru-RU" w:bidi="ru-RU"/>
          <w:w w:val="100"/>
          <w:spacing w:val="0"/>
          <w:color w:val="000000"/>
          <w:position w:val="0"/>
        </w:rPr>
        <w:t xml:space="preserve"> и восстановление законных прав и интересов Заявителя возможно исключительно в судебном порядке.</w:t>
      </w:r>
    </w:p>
    <w:p>
      <w:pPr>
        <w:pStyle w:val="Style20"/>
        <w:numPr>
          <w:ilvl w:val="0"/>
          <w:numId w:val="9"/>
        </w:numPr>
        <w:widowControl w:val="0"/>
        <w:keepNext w:val="0"/>
        <w:keepLines w:val="0"/>
        <w:shd w:val="clear" w:color="auto" w:fill="auto"/>
        <w:bidi w:val="0"/>
        <w:jc w:val="both"/>
        <w:spacing w:before="0" w:after="296" w:line="317" w:lineRule="exact"/>
        <w:ind w:left="20" w:right="20" w:firstLine="70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jc w:val="both"/>
        <w:spacing w:before="0" w:after="43"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framePr w:w="2987" w:h="1277" w:wrap="around" w:vAnchor="text" w:hAnchor="margin" w:x="18" w:y="-313"/>
        <w:widowControl w:val="0"/>
        <w:keepNext w:val="0"/>
        <w:keepLines w:val="0"/>
        <w:shd w:val="clear" w:color="auto" w:fill="auto"/>
        <w:bidi w:val="0"/>
        <w:jc w:val="both"/>
        <w:spacing w:before="0" w:after="0" w:line="638" w:lineRule="exact"/>
        <w:ind w:left="0" w:right="100" w:firstLine="0"/>
      </w:pPr>
      <w:r>
        <w:rPr>
          <w:rStyle w:val="CharStyle30"/>
          <w:spacing w:val="0"/>
        </w:rPr>
        <w:t>Председательствующий Члены Комиссии</w:t>
      </w:r>
    </w:p>
    <w:p>
      <w:pPr>
        <w:pStyle w:val="Style20"/>
        <w:widowControl w:val="0"/>
        <w:keepNext w:val="0"/>
        <w:keepLines w:val="0"/>
        <w:shd w:val="clear" w:color="auto" w:fill="auto"/>
        <w:bidi w:val="0"/>
        <w:jc w:val="right"/>
        <w:spacing w:before="0" w:after="2591" w:line="643" w:lineRule="exact"/>
        <w:ind w:left="5460" w:right="20" w:firstLine="0"/>
      </w:pPr>
      <w:r>
        <w:rPr>
          <w:lang w:val="ru-RU" w:eastAsia="ru-RU" w:bidi="ru-RU"/>
          <w:w w:val="100"/>
          <w:spacing w:val="0"/>
          <w:color w:val="000000"/>
          <w:position w:val="0"/>
        </w:rPr>
        <w:t>Н.А. Узкий А.З. Касимова Е.О. Сгибнев</w:t>
      </w:r>
    </w:p>
    <w:p>
      <w:pPr>
        <w:pStyle w:val="Style32"/>
        <w:widowControl w:val="0"/>
        <w:keepNext w:val="0"/>
        <w:keepLines w:val="0"/>
        <w:shd w:val="clear" w:color="auto" w:fill="auto"/>
        <w:bidi w:val="0"/>
        <w:spacing w:before="0" w:after="0" w:line="180" w:lineRule="exact"/>
        <w:ind w:left="20" w:right="0" w:firstLine="0"/>
      </w:pPr>
      <w:r>
        <w:rPr>
          <w:lang w:val="ru-RU" w:eastAsia="ru-RU" w:bidi="ru-RU"/>
          <w:w w:val="100"/>
          <w:spacing w:val="0"/>
          <w:color w:val="000000"/>
          <w:position w:val="0"/>
        </w:rPr>
        <w:t>Исп. Касимова А.З.</w:t>
      </w:r>
    </w:p>
    <w:sectPr>
      <w:headerReference w:type="even" r:id="rId13"/>
      <w:headerReference w:type="default" r:id="rId14"/>
      <w:footerReference w:type="even" r:id="rId15"/>
      <w:footerReference w:type="default" r:id="rId16"/>
      <w:footerReference w:type="first" r:id="rId17"/>
      <w:type w:val="continuous"/>
      <w:pgSz w:w="11909" w:h="16838"/>
      <w:pgMar w:top="1264" w:left="848" w:right="832" w:bottom="1130"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15pt;margin-top:796.9pt;width:56.9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2022-37410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43.05pt;margin-top:805.75pt;width:57.1pt;height:7.9pt;z-index:-188744061;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2022-37410</w:t>
                </w:r>
              </w:p>
            </w:txbxContent>
          </v:textbox>
          <w10:wrap anchorx="page" anchory="page"/>
        </v:shape>
      </w:pict>
    </w:r>
  </w:p>
</w:ftr>
</file>

<file path=word/footer3.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4" type="#_x0000_t202" style="position:absolute;margin-left:43.15pt;margin-top:796.9pt;width:56.9pt;height:7.9pt;z-index:-188744058;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2022-37410</w:t>
                </w:r>
              </w:p>
            </w:txbxContent>
          </v:textbox>
          <w10:wrap anchorx="page" anchory="page"/>
        </v:shape>
      </w:pict>
    </w:r>
  </w:p>
</w:ftr>
</file>

<file path=word/footer4.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5" type="#_x0000_t202" style="position:absolute;margin-left:43.15pt;margin-top:796.9pt;width:56.9pt;height:7.9pt;z-index:-188744057;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b/>
                    <w:bCs/>
                  </w:rPr>
                  <w:t>2022-37410</w:t>
                </w:r>
              </w:p>
            </w:txbxContent>
          </v:textbox>
          <w10:wrap anchorx="page" anchory="page"/>
        </v:shape>
      </w:pict>
    </w:r>
  </w:p>
</w:ftr>
</file>

<file path=word/footer5.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5.15pt;margin-top:38.25pt;width:5.3pt;height:7.9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295.4pt;margin-top:19.75pt;width:4.3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header3.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2" type="#_x0000_t202" style="position:absolute;margin-left:295.15pt;margin-top:38.25pt;width:5.3pt;height:7.9pt;z-index:-188744060;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header4.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3" type="#_x0000_t202" style="position:absolute;margin-left:295.15pt;margin-top:38.25pt;width:5.3pt;height:7.9pt;z-index:-188744059;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2"/>
      <w:numFmt w:val="decimal"/>
      <w:lvlText w:val="30.06.%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22"/>
      <w:numFmt w:val="decimal"/>
      <w:lvlText w:val="21.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22"/>
      <w:numFmt w:val="decimal"/>
      <w:lvlText w:val="27.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22"/>
      <w:numFmt w:val="decimal"/>
      <w:lvlText w:val="27.06.%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bCs/>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1"/>
    <w:rPr>
      <w:lang w:val="ru-RU" w:eastAsia="ru-RU" w:bidi="ru-RU"/>
      <w:u w:val="single"/>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29">
    <w:name w:val="Основной текст + 11 pt,Полужирный"/>
    <w:basedOn w:val="CharStyle21"/>
    <w:rPr>
      <w:lang w:val="ru-RU" w:eastAsia="ru-RU" w:bidi="ru-RU"/>
      <w:b/>
      <w:bCs/>
      <w:sz w:val="22"/>
      <w:szCs w:val="22"/>
      <w:w w:val="100"/>
      <w:spacing w:val="0"/>
      <w:color w:val="000000"/>
      <w:position w:val="0"/>
    </w:rPr>
  </w:style>
  <w:style w:type="character" w:customStyle="1" w:styleId="CharStyle30">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31">
    <w:name w:val="Основной текст + Курсив"/>
    <w:basedOn w:val="CharStyle21"/>
    <w:rPr>
      <w:lang w:val="ru-RU" w:eastAsia="ru-RU" w:bidi="ru-RU"/>
      <w:i/>
      <w:iCs/>
      <w:w w:val="100"/>
      <w:spacing w:val="0"/>
      <w:color w:val="000000"/>
      <w:position w:val="0"/>
    </w:rPr>
  </w:style>
  <w:style w:type="character" w:customStyle="1" w:styleId="CharStyle33">
    <w:name w:val="Основной текст (6)_"/>
    <w:basedOn w:val="DefaultParagraphFont"/>
    <w:link w:val="Style32"/>
    <w:rPr>
      <w:b/>
      <w:bCs/>
      <w:i w:val="0"/>
      <w:iCs w:val="0"/>
      <w:u w:val="none"/>
      <w:strike w:val="0"/>
      <w:smallCaps w:val="0"/>
      <w:sz w:val="18"/>
      <w:szCs w:val="18"/>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2">
    <w:name w:val="Основной текст (6)"/>
    <w:basedOn w:val="Normal"/>
    <w:link w:val="CharStyle33"/>
    <w:pPr>
      <w:widowControl w:val="0"/>
      <w:shd w:val="clear" w:color="auto" w:fill="FFFFFF"/>
      <w:jc w:val="both"/>
      <w:spacing w:before="2220" w:line="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footer" Target="footer3.xml"/><Relationship Id="rId16" Type="http://schemas.openxmlformats.org/officeDocument/2006/relationships/footer" Target="footer4.xml"/><Relationship Id="rId17" Type="http://schemas.openxmlformats.org/officeDocument/2006/relationships/footer" Target="footer5.xml"/></Relationships>
</file>