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jc w:val="left"/>
        <w:spacing w:before="0" w:after="289"/>
        <w:ind w:left="20" w:right="0" w:firstLine="0"/>
      </w:pPr>
      <w:r>
        <w:rPr>
          <w:lang w:val="ru-RU" w:eastAsia="ru-RU" w:bidi="ru-RU"/>
          <w:w w:val="100"/>
          <w:spacing w:val="0"/>
          <w:color w:val="000000"/>
          <w:position w:val="0"/>
        </w:rPr>
        <w:t>Департамент города Москвы по конкурентной политике</w:t>
      </w:r>
    </w:p>
    <w:p>
      <w:pPr>
        <w:pStyle w:val="Style20"/>
        <w:widowControl w:val="0"/>
        <w:keepNext w:val="0"/>
        <w:keepLines w:val="0"/>
        <w:shd w:val="clear" w:color="auto" w:fill="auto"/>
        <w:bidi w:val="0"/>
        <w:jc w:val="left"/>
        <w:spacing w:before="0" w:after="298" w:line="260" w:lineRule="exact"/>
        <w:ind w:left="20" w:right="0" w:firstLine="0"/>
      </w:pPr>
      <w:r>
        <w:rPr>
          <w:lang w:val="ru-RU" w:eastAsia="ru-RU" w:bidi="ru-RU"/>
          <w:w w:val="100"/>
          <w:spacing w:val="0"/>
          <w:color w:val="000000"/>
          <w:position w:val="0"/>
        </w:rPr>
        <w:t>Печатников пер., д.12, г. Москва, 107045</w:t>
      </w:r>
    </w:p>
    <w:p>
      <w:pPr>
        <w:pStyle w:val="Style20"/>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Департамент региональной безопасности и противодействия коррупции города Москвы</w:t>
      </w:r>
    </w:p>
    <w:p>
      <w:pPr>
        <w:pStyle w:val="Style20"/>
        <w:widowControl w:val="0"/>
        <w:keepNext w:val="0"/>
        <w:keepLines w:val="0"/>
        <w:shd w:val="clear" w:color="auto" w:fill="auto"/>
        <w:bidi w:val="0"/>
        <w:jc w:val="left"/>
        <w:spacing w:before="0" w:after="289"/>
        <w:ind w:left="20" w:right="0" w:firstLine="0"/>
      </w:pPr>
      <w:r>
        <w:rPr>
          <w:lang w:val="ru-RU" w:eastAsia="ru-RU" w:bidi="ru-RU"/>
          <w:w w:val="100"/>
          <w:spacing w:val="0"/>
          <w:color w:val="000000"/>
          <w:position w:val="0"/>
        </w:rPr>
        <w:t>Новый Арбат ул., д. 36, г. Москва, 121099</w:t>
      </w:r>
    </w:p>
    <w:p>
      <w:pPr>
        <w:pStyle w:val="Style20"/>
        <w:widowControl w:val="0"/>
        <w:keepNext w:val="0"/>
        <w:keepLines w:val="0"/>
        <w:shd w:val="clear" w:color="auto" w:fill="auto"/>
        <w:bidi w:val="0"/>
        <w:jc w:val="left"/>
        <w:spacing w:before="0" w:after="308" w:line="260" w:lineRule="exact"/>
        <w:ind w:left="20" w:right="0" w:firstLine="0"/>
      </w:pPr>
      <w:r>
        <w:rPr>
          <w:lang w:val="ru-RU" w:eastAsia="ru-RU" w:bidi="ru-RU"/>
          <w:w w:val="100"/>
          <w:spacing w:val="0"/>
          <w:color w:val="000000"/>
          <w:position w:val="0"/>
        </w:rPr>
        <w:t>ООО «Софт-Трейд»</w:t>
      </w:r>
    </w:p>
    <w:p>
      <w:pPr>
        <w:pStyle w:val="Style20"/>
        <w:widowControl w:val="0"/>
        <w:keepNext w:val="0"/>
        <w:keepLines w:val="0"/>
        <w:shd w:val="clear" w:color="auto" w:fill="auto"/>
        <w:bidi w:val="0"/>
        <w:jc w:val="left"/>
        <w:spacing w:before="0" w:after="289"/>
        <w:ind w:left="20" w:right="0" w:firstLine="0"/>
      </w:pPr>
      <w:r>
        <w:rPr>
          <w:lang w:val="ru-RU" w:eastAsia="ru-RU" w:bidi="ru-RU"/>
          <w:w w:val="100"/>
          <w:spacing w:val="0"/>
          <w:color w:val="000000"/>
          <w:position w:val="0"/>
        </w:rPr>
        <w:t>ул. Большая Полянка, д. 7/10, стр. 3, эт. 1, пом. 2, комн 17, г. Москва, 119180</w:t>
      </w:r>
    </w:p>
    <w:p>
      <w:pPr>
        <w:pStyle w:val="Style20"/>
        <w:widowControl w:val="0"/>
        <w:keepNext w:val="0"/>
        <w:keepLines w:val="0"/>
        <w:shd w:val="clear" w:color="auto" w:fill="auto"/>
        <w:bidi w:val="0"/>
        <w:jc w:val="left"/>
        <w:spacing w:before="0" w:after="0" w:line="260" w:lineRule="exact"/>
        <w:ind w:left="2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979" w:left="885" w:right="943" w:bottom="341" w:header="0" w:footer="3" w:gutter="0"/>
          <w:rtlGutter w:val="0"/>
          <w:cols w:num="2" w:space="720" w:equalWidth="0">
            <w:col w:w="3941" w:space="1325"/>
            <w:col w:w="4814"/>
          </w:cols>
          <w:noEndnote/>
          <w:docGrid w:linePitch="360"/>
        </w:sectPr>
      </w:pPr>
      <w:r>
        <w:rPr>
          <w:lang w:val="ru-RU" w:eastAsia="ru-RU" w:bidi="ru-RU"/>
          <w:w w:val="100"/>
          <w:spacing w:val="0"/>
          <w:color w:val="000000"/>
          <w:position w:val="0"/>
        </w:rPr>
        <w:t>АО «ЕЭТП»</w:t>
      </w:r>
    </w:p>
    <w:p>
      <w:pPr>
        <w:widowControl w:val="0"/>
        <w:spacing w:before="45" w:after="45"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589"/>
        <w:ind w:left="5340" w:right="880" w:firstLine="0"/>
      </w:pPr>
      <w:r>
        <w:rPr>
          <w:lang w:val="ru-RU" w:eastAsia="ru-RU" w:bidi="ru-RU"/>
          <w:w w:val="100"/>
          <w:spacing w:val="0"/>
          <w:color w:val="000000"/>
          <w:position w:val="0"/>
        </w:rPr>
        <w:t>ул. Кожевническая, д. 14, стр. 5, г. Москва, 115114,</w:t>
      </w:r>
    </w:p>
    <w:p>
      <w:pPr>
        <w:pStyle w:val="Style24"/>
        <w:widowControl w:val="0"/>
        <w:keepNext w:val="0"/>
        <w:keepLines w:val="0"/>
        <w:shd w:val="clear" w:color="auto" w:fill="auto"/>
        <w:bidi w:val="0"/>
        <w:spacing w:before="0" w:after="63" w:line="260" w:lineRule="exact"/>
        <w:ind w:left="0" w:right="20" w:firstLine="0"/>
      </w:pPr>
      <w:r>
        <w:rPr>
          <w:lang w:val="ru-RU" w:eastAsia="ru-RU" w:bidi="ru-RU"/>
          <w:w w:val="100"/>
          <w:spacing w:val="0"/>
          <w:color w:val="000000"/>
          <w:position w:val="0"/>
        </w:rPr>
        <w:t>РЕШЕНИЕ</w:t>
      </w:r>
    </w:p>
    <w:p>
      <w:pPr>
        <w:pStyle w:val="Style24"/>
        <w:tabs>
          <w:tab w:leader="none" w:pos="11352" w:val="right"/>
          <w:tab w:leader="none" w:pos="12408" w:val="right"/>
        </w:tabs>
        <w:widowControl w:val="0"/>
        <w:keepNext w:val="0"/>
        <w:keepLines w:val="0"/>
        <w:shd w:val="clear" w:color="auto" w:fill="auto"/>
        <w:bidi w:val="0"/>
        <w:jc w:val="left"/>
        <w:spacing w:before="0" w:after="0" w:line="322" w:lineRule="exact"/>
        <w:ind w:left="2520" w:right="2240"/>
      </w:pPr>
      <w:r>
        <w:rPr>
          <w:lang w:val="ru-RU" w:eastAsia="ru-RU" w:bidi="ru-RU"/>
          <w:w w:val="100"/>
          <w:spacing w:val="0"/>
          <w:color w:val="000000"/>
          <w:position w:val="0"/>
        </w:rPr>
        <w:t>по делу №077/06/106-10062/2022 о нарушении законодательства о контрактной системе</w:t>
      </w:r>
    </w:p>
    <w:p>
      <w:pPr>
        <w:pStyle w:val="Style24"/>
        <w:numPr>
          <w:ilvl w:val="0"/>
          <w:numId w:val="1"/>
        </w:numPr>
        <w:tabs>
          <w:tab w:leader="none" w:pos="9112" w:val="right"/>
          <w:tab w:leader="none" w:pos="10168" w:val="right"/>
          <w:tab w:leader="none" w:pos="8968"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г.</w:t>
        <w:tab/>
        <w:t>Москва</w:t>
      </w:r>
    </w:p>
    <w:p>
      <w:pPr>
        <w:pStyle w:val="Style20"/>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0"/>
        <w:tabs>
          <w:tab w:leader="none" w:pos="4046" w:val="left"/>
        </w:tabs>
        <w:widowControl w:val="0"/>
        <w:keepNext w:val="0"/>
        <w:keepLines w:val="0"/>
        <w:shd w:val="clear" w:color="auto" w:fill="auto"/>
        <w:bidi w:val="0"/>
        <w:jc w:val="both"/>
        <w:spacing w:before="0" w:after="0"/>
        <w:ind w:left="40" w:right="0" w:firstLine="680"/>
      </w:pPr>
      <w:r>
        <w:rPr>
          <w:lang w:val="ru-RU" w:eastAsia="ru-RU" w:bidi="ru-RU"/>
          <w:w w:val="100"/>
          <w:spacing w:val="0"/>
          <w:color w:val="000000"/>
          <w:position w:val="0"/>
        </w:rPr>
        <w:t>Председательствующего:</w:t>
        <w:tab/>
        <w:t>главного государственного инспектора отдела</w:t>
      </w:r>
    </w:p>
    <w:p>
      <w:pPr>
        <w:pStyle w:val="Style20"/>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обжалования государственных закупок С.И. Казарина,</w:t>
      </w:r>
    </w:p>
    <w:p>
      <w:pPr>
        <w:pStyle w:val="Style20"/>
        <w:widowControl w:val="0"/>
        <w:keepNext w:val="0"/>
        <w:keepLines w:val="0"/>
        <w:shd w:val="clear" w:color="auto" w:fill="auto"/>
        <w:bidi w:val="0"/>
        <w:jc w:val="both"/>
        <w:spacing w:before="0" w:after="0"/>
        <w:ind w:left="40" w:right="0" w:firstLine="680"/>
      </w:pPr>
      <w:r>
        <w:rPr>
          <w:lang w:val="ru-RU" w:eastAsia="ru-RU" w:bidi="ru-RU"/>
          <w:w w:val="100"/>
          <w:spacing w:val="0"/>
          <w:color w:val="000000"/>
          <w:position w:val="0"/>
        </w:rPr>
        <w:t>Членов Комиссии:</w:t>
      </w:r>
    </w:p>
    <w:p>
      <w:pPr>
        <w:pStyle w:val="Style20"/>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20"/>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Специалиста-эксперта отдела обжалования государственных закупок М.О. Мацневой,</w:t>
      </w:r>
    </w:p>
    <w:p>
      <w:pPr>
        <w:pStyle w:val="Style22"/>
        <w:framePr w:w="1685" w:h="394" w:wrap="around" w:vAnchor="text" w:hAnchor="margin" w:x="385" w:y="2324"/>
        <w:widowControl w:val="0"/>
        <w:keepNext w:val="0"/>
        <w:keepLines w:val="0"/>
        <w:shd w:val="clear" w:color="auto" w:fill="auto"/>
        <w:bidi w:val="0"/>
        <w:jc w:val="left"/>
        <w:spacing w:before="0" w:after="0" w:line="240" w:lineRule="auto"/>
        <w:ind w:left="0" w:right="0" w:firstLine="0"/>
      </w:pPr>
      <w:r>
        <w:rPr>
          <w:w w:val="100"/>
          <w:spacing w:val="0"/>
          <w:color w:val="000000"/>
          <w:position w:val="0"/>
        </w:rPr>
        <w:t>000588925185</w:t>
      </w:r>
    </w:p>
    <w:p>
      <w:pPr>
        <w:pStyle w:val="Style20"/>
        <w:widowControl w:val="0"/>
        <w:keepNext w:val="0"/>
        <w:keepLines w:val="0"/>
        <w:shd w:val="clear" w:color="auto" w:fill="auto"/>
        <w:bidi w:val="0"/>
        <w:jc w:val="right"/>
        <w:spacing w:before="0" w:after="356"/>
        <w:ind w:left="40" w:right="20" w:firstLine="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Департамента города Москвы по конкурентной политике, Департамента региональной безопасности и противодействия коррупции</w:t>
      </w:r>
    </w:p>
    <w:p>
      <w:pPr>
        <w:framePr w:h="461" w:wrap="notBeside" w:vAnchor="text" w:hAnchor="text" w:y="1"/>
        <w:widowControl w:val="0"/>
        <w:jc w:val="left"/>
        <w:rPr>
          <w:sz w:val="2"/>
          <w:szCs w:val="2"/>
        </w:rPr>
      </w:pPr>
      <w:r>
        <w:pict>
          <v:shape id="_x0000_s1030" type="#_x0000_t75" style="width:126pt;height:23pt;">
            <v:imagedata r:id="rId10" r:href="rId11"/>
          </v:shape>
        </w:pict>
      </w:r>
    </w:p>
    <w:p>
      <w:pPr>
        <w:widowControl w:val="0"/>
        <w:rPr>
          <w:sz w:val="2"/>
          <w:szCs w:val="2"/>
        </w:rPr>
      </w:pPr>
    </w:p>
    <w:p>
      <w:pPr>
        <w:widowControl w:val="0"/>
        <w:rPr>
          <w:sz w:val="2"/>
          <w:szCs w:val="2"/>
        </w:rPr>
        <w:sectPr>
          <w:type w:val="continuous"/>
          <w:pgSz w:w="11909" w:h="16838"/>
          <w:pgMar w:top="964" w:left="818" w:right="847" w:bottom="326" w:header="0" w:footer="3" w:gutter="0"/>
          <w:rtlGutter w:val="0"/>
          <w:cols w:space="720"/>
          <w:noEndnote/>
          <w:docGrid w:linePitch="360"/>
        </w:sectPr>
      </w:pP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города Москвы, ООО «Софт-Трейд»,</w:t>
      </w:r>
    </w:p>
    <w:p>
      <w:pPr>
        <w:pStyle w:val="Style20"/>
        <w:widowControl w:val="0"/>
        <w:keepNext w:val="0"/>
        <w:keepLines w:val="0"/>
        <w:shd w:val="clear" w:color="auto" w:fill="auto"/>
        <w:bidi w:val="0"/>
        <w:jc w:val="both"/>
        <w:spacing w:before="0" w:after="349"/>
        <w:ind w:left="20" w:right="20" w:firstLine="680"/>
      </w:pPr>
      <w:r>
        <w:rPr>
          <w:lang w:val="ru-RU" w:eastAsia="ru-RU" w:bidi="ru-RU"/>
          <w:w w:val="100"/>
          <w:spacing w:val="0"/>
          <w:color w:val="000000"/>
          <w:position w:val="0"/>
        </w:rPr>
        <w:t>рассмотрев жалобу ООО «Софт-Трейд» (далее - Заявитель) на действия Департамента региональной безопасности и противодействия коррупции города Москвы (далее — Заказчик) при проведении электронного аукциона на право заключения государственного контракта на поставку радиостанций (Закупка № 0173200001422000767)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26"/>
        <w:widowControl w:val="0"/>
        <w:keepNext/>
        <w:keepLines/>
        <w:shd w:val="clear" w:color="auto" w:fill="auto"/>
        <w:bidi w:val="0"/>
        <w:jc w:val="left"/>
        <w:spacing w:before="0" w:after="308"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Заявитель обжалует действия Заказчика, выразившиеся в утверждении извещения в нарушение Закона о контрактной системе.</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По результатам рассмотрения жалоб, рассмотрев представленные документы и сведения, запрашиваемые письмом Московского УФАС России от 28.06.2022 №ЕИ/34287/22, Комиссия Управления установила следующее.</w:t>
      </w:r>
    </w:p>
    <w:p>
      <w:pPr>
        <w:pStyle w:val="Style20"/>
        <w:numPr>
          <w:ilvl w:val="0"/>
          <w:numId w:val="3"/>
        </w:numPr>
        <w:tabs>
          <w:tab w:leader="none" w:pos="1066" w:val="left"/>
        </w:tabs>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Согласно доводам Заявителя, Заказчиком, при описании характеристик требуемых товаров, неправомерно указаны дополнительные характеристики не предусмотренные используемой Заказчиком позицией Каталога товаров, работ, услуг для обеспечения государственных и муниципальных нужд (далее — КТРУ).</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Согласно п.1 ч.2 ст.42 Закона о контрактной системе извещение об осуществлении закупки должно содержать описание объекта закупки в соответствии со ст.33 Закона о контрактной системе.</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Согласно п.1,2 ч.1 ст.33 Закона о контрактной системе заказчик при описании объекта закупки должен руководствоваться следующими правилами:</w:t>
      </w:r>
    </w:p>
    <w:p>
      <w:pPr>
        <w:pStyle w:val="Style20"/>
        <w:numPr>
          <w:ilvl w:val="0"/>
          <w:numId w:val="5"/>
        </w:numPr>
        <w:tabs>
          <w:tab w:leader="none" w:pos="1066" w:val="left"/>
        </w:tabs>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0"/>
        <w:numPr>
          <w:ilvl w:val="0"/>
          <w:numId w:val="5"/>
        </w:numPr>
        <w:tabs>
          <w:tab w:leader="none" w:pos="1114" w:val="left"/>
        </w:tabs>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0"/>
        <w:tabs>
          <w:tab w:leader="none" w:pos="5223" w:val="left"/>
        </w:tabs>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Техническим заданием установлены требования к характеристикам необходимых Заказчику изделий, в том числе, по п.5 «Система ультразвуковой визуализации универсальная, с питанием от сети» Заказчиком установлены , например, следующие требования: «Датчик полостной линейный для получения трехмерных изображений: Наличие», «Механический внутриполостной датчик для получения трехмерных изображений:</w:t>
        <w:tab/>
        <w:t>Наличие», «Датчик внутриполостной:</w:t>
      </w:r>
    </w:p>
    <w:p>
      <w:pPr>
        <w:pStyle w:val="Style20"/>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Наличие».</w:t>
      </w:r>
    </w:p>
    <w:p>
      <w:pPr>
        <w:pStyle w:val="Style20"/>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Вместе с этим, согласно извещению о проведении электронного аукциона от</w:t>
      </w:r>
    </w:p>
    <w:p>
      <w:pPr>
        <w:pStyle w:val="Style20"/>
        <w:numPr>
          <w:ilvl w:val="0"/>
          <w:numId w:val="7"/>
        </w:numPr>
        <w:tabs>
          <w:tab w:leader="none" w:pos="1532"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№ИИ1, при описании закупаемого по п.1 изделия Заказчиком использовалась позиция КТРУ 26.30.11.150-00000004, при описании закупаемых по п.2-4 изделий использовалась позиция КТРУ 26.30.11.150-00000005.</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20"/>
        <w:tabs>
          <w:tab w:leader="none" w:pos="1407" w:val="left"/>
        </w:tabs>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Ч.6</w:t>
        <w:tab/>
        <w:t>ст.23 Закона о контрактной системе установлено, что порядок</w:t>
      </w:r>
    </w:p>
    <w:p>
      <w:pPr>
        <w:pStyle w:val="Style20"/>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Постановлением Правительства Российской Федерации от 08.02.2017 № 145 (далее — постановление Правительства РФ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На основании п.4 Правил использования КТРУ Заказчики обязаны применять информацию, включенную в позицию каталога в соответствии с подпунктами «б» - «и» п.10 Правил формирования КТРУ.</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w:t>
      </w:r>
      <w:r>
        <w:rPr>
          <w:rStyle w:val="CharStyle28"/>
        </w:rPr>
        <w:t>за исключением случаев:</w:t>
      </w:r>
    </w:p>
    <w:p>
      <w:pPr>
        <w:pStyle w:val="Style29"/>
        <w:tabs>
          <w:tab w:leader="none" w:pos="2089" w:val="lef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а) осуществления закупки радиоэлектронной продукции, включенной в пункты 25(1)</w:t>
        <w:tab/>
        <w:t>- 25(7) перечня промышленных товаров, происходящих из</w:t>
      </w:r>
    </w:p>
    <w:p>
      <w:pPr>
        <w:pStyle w:val="Style29"/>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r>
        <w:rPr>
          <w:rStyle w:val="CharStyle31"/>
          <w:i w:val="0"/>
          <w:iCs w:val="0"/>
        </w:rPr>
        <w:t xml:space="preserve"> (далее — Постановление №878).</w:t>
      </w:r>
    </w:p>
    <w:p>
      <w:pPr>
        <w:pStyle w:val="Style20"/>
        <w:tabs>
          <w:tab w:leader="none" w:pos="6520" w:val="center"/>
          <w:tab w:leader="none" w:pos="7672" w:val="right"/>
          <w:tab w:leader="none" w:pos="7840" w:val="left"/>
        </w:tabs>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Комиссией Управления установлено, что позицией КТРУ 26.30.11.150</w:t>
        <w:softHyphen/>
        <w:t>00000004 «Радиостанция цифровая</w:t>
      </w:r>
      <w:r>
        <w:rPr>
          <w:rStyle w:val="CharStyle28"/>
        </w:rPr>
        <w:t>»</w:t>
      </w:r>
      <w:r>
        <w:rPr>
          <w:lang w:val="ru-RU" w:eastAsia="ru-RU" w:bidi="ru-RU"/>
          <w:w w:val="100"/>
          <w:spacing w:val="0"/>
          <w:color w:val="000000"/>
          <w:position w:val="0"/>
        </w:rPr>
        <w:t xml:space="preserve"> не предусмотрена часть характеристик установленных Заказчиком при описании требуемого товара по п.1 , например не предусмотрены следующие характеристики:</w:t>
        <w:tab/>
        <w:t>«Индикатор</w:t>
        <w:tab/>
        <w:t>не</w:t>
        <w:tab/>
        <w:t>корректной работы</w:t>
      </w:r>
    </w:p>
    <w:p>
      <w:pPr>
        <w:pStyle w:val="Style20"/>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 xml:space="preserve">или неисправности антенно-фидерного тракта», «Автоматическое переключение между аналоговым и цифровым режимами работы», «Обеспечение радиосвязи в цифровых транкинговых сетях радиосвязи </w:t>
      </w:r>
      <w:r>
        <w:rPr>
          <w:lang w:val="en-US" w:eastAsia="en-US" w:bidi="en-US"/>
          <w:w w:val="100"/>
          <w:spacing w:val="0"/>
          <w:color w:val="000000"/>
          <w:position w:val="0"/>
        </w:rPr>
        <w:t xml:space="preserve">DERP </w:t>
      </w:r>
      <w:r>
        <w:rPr>
          <w:lang w:val="ru-RU" w:eastAsia="ru-RU" w:bidi="ru-RU"/>
          <w:w w:val="100"/>
          <w:spacing w:val="0"/>
          <w:color w:val="000000"/>
          <w:position w:val="0"/>
        </w:rPr>
        <w:t xml:space="preserve">и </w:t>
      </w:r>
      <w:r>
        <w:rPr>
          <w:lang w:val="en-US" w:eastAsia="en-US" w:bidi="en-US"/>
          <w:w w:val="100"/>
          <w:spacing w:val="0"/>
          <w:color w:val="000000"/>
          <w:position w:val="0"/>
        </w:rPr>
        <w:t xml:space="preserve">DMR Tier </w:t>
      </w:r>
      <w:r>
        <w:rPr>
          <w:lang w:val="ru-RU" w:eastAsia="ru-RU" w:bidi="ru-RU"/>
          <w:w w:val="100"/>
          <w:spacing w:val="0"/>
          <w:color w:val="000000"/>
          <w:position w:val="0"/>
        </w:rPr>
        <w:t>3».</w:t>
      </w:r>
    </w:p>
    <w:p>
      <w:pPr>
        <w:pStyle w:val="Style20"/>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Также Комиссией Управления установлено, что позицией КТРУ 26.30.11.150</w:t>
        <w:softHyphen/>
        <w:t xml:space="preserve">00000005 «Радиостанция цифровая» не предусмотрена часть характеристик установленных Заказчиком при описании требуемого товара по п.2-4, например не предусмотрены следующие характеристики: «Обеспечение радиосвязи в цифровых транкинговых сетях радиосвязи </w:t>
      </w:r>
      <w:r>
        <w:rPr>
          <w:lang w:val="en-US" w:eastAsia="en-US" w:bidi="en-US"/>
          <w:w w:val="100"/>
          <w:spacing w:val="0"/>
          <w:color w:val="000000"/>
          <w:position w:val="0"/>
        </w:rPr>
        <w:t xml:space="preserve">DERP </w:t>
      </w:r>
      <w:r>
        <w:rPr>
          <w:lang w:val="ru-RU" w:eastAsia="ru-RU" w:bidi="ru-RU"/>
          <w:w w:val="100"/>
          <w:spacing w:val="0"/>
          <w:color w:val="000000"/>
          <w:position w:val="0"/>
        </w:rPr>
        <w:t xml:space="preserve">и </w:t>
      </w:r>
      <w:r>
        <w:rPr>
          <w:lang w:val="en-US" w:eastAsia="en-US" w:bidi="en-US"/>
          <w:w w:val="100"/>
          <w:spacing w:val="0"/>
          <w:color w:val="000000"/>
          <w:position w:val="0"/>
        </w:rPr>
        <w:t xml:space="preserve">DMR Tier </w:t>
      </w:r>
      <w:r>
        <w:rPr>
          <w:lang w:val="ru-RU" w:eastAsia="ru-RU" w:bidi="ru-RU"/>
          <w:w w:val="100"/>
          <w:spacing w:val="0"/>
          <w:color w:val="000000"/>
          <w:position w:val="0"/>
        </w:rPr>
        <w:t>3», «Тип приемника: Супергетеродин с двойным преобразованием».</w:t>
      </w:r>
    </w:p>
    <w:p>
      <w:pPr>
        <w:pStyle w:val="Style20"/>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Таким образом Комиссия Управления приходит к выводу, что Заказчиком, при описании требуемых изделий, использовались дополнительные характеристики например: «Обеспечение радиосвязи в цифровых транкинговых сетях радиосвязи </w:t>
      </w:r>
      <w:r>
        <w:rPr>
          <w:lang w:val="en-US" w:eastAsia="en-US" w:bidi="en-US"/>
          <w:w w:val="100"/>
          <w:spacing w:val="0"/>
          <w:color w:val="000000"/>
          <w:position w:val="0"/>
        </w:rPr>
        <w:t xml:space="preserve">DERP </w:t>
      </w:r>
      <w:r>
        <w:rPr>
          <w:lang w:val="ru-RU" w:eastAsia="ru-RU" w:bidi="ru-RU"/>
          <w:w w:val="100"/>
          <w:spacing w:val="0"/>
          <w:color w:val="000000"/>
          <w:position w:val="0"/>
        </w:rPr>
        <w:t xml:space="preserve">и </w:t>
      </w:r>
      <w:r>
        <w:rPr>
          <w:lang w:val="en-US" w:eastAsia="en-US" w:bidi="en-US"/>
          <w:w w:val="100"/>
          <w:spacing w:val="0"/>
          <w:color w:val="000000"/>
          <w:position w:val="0"/>
        </w:rPr>
        <w:t xml:space="preserve">DMR Tier </w:t>
      </w:r>
      <w:r>
        <w:rPr>
          <w:lang w:val="ru-RU" w:eastAsia="ru-RU" w:bidi="ru-RU"/>
          <w:w w:val="100"/>
          <w:spacing w:val="0"/>
          <w:color w:val="000000"/>
          <w:position w:val="0"/>
        </w:rPr>
        <w:t>3», «Автоматическое переключение между аналоговым и цифровым режимами работы», «Тип приемника: Супергетеродин с двойным преобразованием», которые не предусмотрены позицией КТРУ.</w:t>
      </w:r>
    </w:p>
    <w:p>
      <w:pPr>
        <w:pStyle w:val="Style20"/>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Вместе с этим Комиссией Управления установлено, что извещением о проведении закупочной процедуры установлено ограничения для целей осуществления закупок для обеспечения государственных и муниципальных нужд в соответствии с положениями Постановления №878.</w:t>
      </w:r>
    </w:p>
    <w:p>
      <w:pPr>
        <w:pStyle w:val="Style20"/>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Заказчик, при описании объекта закупочной процедуры, руководствовался потребностью учреждения в оборудовании с определенным набором параметров.</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Управления отмечает, что, как установлено Комиссией Управления, Заказчиком при описании требуемых изделий использовались позиций КТРУ, при этом в извещении о проведении аукциона Заказчиком установлено ограничение для целей осуществления закупок для обеспечения государственных и муниципальных нужд в соответствии с положениями Постановления №878, ввиду чего, согласно п.5 Правил использования КТРУ, у Заказчика отсутствует право установления дополнительных характеристик, не предусмотренных КТРУ.</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вышеизложенного Комиссия Управления приходит к выводу, что Заказчиком, в нарушение п.5 Правил использования КТРУ, при описании требуемых изделий были использованы дополнительные характеристики, не предусмотренные позицией КТРУ.</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об обоснованности довода жалобы и о нарушении Заказчиком положений ч.6 ст.23, п.1 ч.1 ст.33 Закона о контрактной системе, что также содержит признаки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20"/>
        <w:numPr>
          <w:ilvl w:val="0"/>
          <w:numId w:val="3"/>
        </w:numPr>
        <w:tabs>
          <w:tab w:leader="none" w:pos="1040" w:val="lef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Также в составе жалобы Заявитель указывает, что Заказчиком установлено требование о совместимости необходимого товара с иными товарами, однако не установлены параметры совместимости, ввиду чего невозможно подобрать товар соответствующий требованиям извещения.</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п.1,2 ч.1 ст.33 Закона о контрактной системе заказчик при описании объекта закупки должен руководствоваться следующими правилами:</w:t>
      </w:r>
    </w:p>
    <w:p>
      <w:pPr>
        <w:pStyle w:val="Style20"/>
        <w:numPr>
          <w:ilvl w:val="0"/>
          <w:numId w:val="9"/>
        </w:numPr>
        <w:tabs>
          <w:tab w:leader="none" w:pos="1062" w:val="lef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0"/>
        <w:numPr>
          <w:ilvl w:val="0"/>
          <w:numId w:val="9"/>
        </w:numPr>
        <w:tabs>
          <w:tab w:leader="none" w:pos="1064" w:val="left"/>
        </w:tabs>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Комиссией Управления установлено, что к закупаемым Заказчиком товарам установлено в том числе следующее требование: «Обеспечение радиосвязи (совместимость) с радиостанциями </w:t>
      </w:r>
      <w:r>
        <w:rPr>
          <w:lang w:val="en-US" w:eastAsia="en-US" w:bidi="en-US"/>
          <w:w w:val="100"/>
          <w:spacing w:val="0"/>
          <w:color w:val="000000"/>
          <w:position w:val="0"/>
        </w:rPr>
        <w:t xml:space="preserve">Motorola Trbo </w:t>
      </w:r>
      <w:r>
        <w:rPr>
          <w:lang w:val="ru-RU" w:eastAsia="ru-RU" w:bidi="ru-RU"/>
          <w:w w:val="100"/>
          <w:spacing w:val="0"/>
          <w:color w:val="000000"/>
          <w:position w:val="0"/>
        </w:rPr>
        <w:t xml:space="preserve">и </w:t>
      </w:r>
      <w:r>
        <w:rPr>
          <w:lang w:val="en-US" w:eastAsia="en-US" w:bidi="en-US"/>
          <w:w w:val="100"/>
          <w:spacing w:val="0"/>
          <w:color w:val="000000"/>
          <w:position w:val="0"/>
        </w:rPr>
        <w:t>Hytera».</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Вместе с этим в составе извещения Заказчиком не описаны характеристики и параметры радиостанций </w:t>
      </w:r>
      <w:r>
        <w:rPr>
          <w:lang w:val="en-US" w:eastAsia="en-US" w:bidi="en-US"/>
          <w:w w:val="100"/>
          <w:spacing w:val="0"/>
          <w:color w:val="000000"/>
          <w:position w:val="0"/>
        </w:rPr>
        <w:t xml:space="preserve">«Motorola Trbo» </w:t>
      </w:r>
      <w:r>
        <w:rPr>
          <w:lang w:val="ru-RU" w:eastAsia="ru-RU" w:bidi="ru-RU"/>
          <w:w w:val="100"/>
          <w:spacing w:val="0"/>
          <w:color w:val="000000"/>
          <w:position w:val="0"/>
        </w:rPr>
        <w:t xml:space="preserve">и </w:t>
      </w:r>
      <w:r>
        <w:rPr>
          <w:lang w:val="en-US" w:eastAsia="en-US" w:bidi="en-US"/>
          <w:w w:val="100"/>
          <w:spacing w:val="0"/>
          <w:color w:val="000000"/>
          <w:position w:val="0"/>
        </w:rPr>
        <w:t xml:space="preserve">«Hytera», </w:t>
      </w:r>
      <w:r>
        <w:rPr>
          <w:lang w:val="ru-RU" w:eastAsia="ru-RU" w:bidi="ru-RU"/>
          <w:w w:val="100"/>
          <w:spacing w:val="0"/>
          <w:color w:val="000000"/>
          <w:position w:val="0"/>
        </w:rPr>
        <w:t>с которыми должен быть совместим поставляемый товар.</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об обоснованности довода жалобы и о нарушении Заказчиком положений п.1</w:t>
      </w:r>
    </w:p>
    <w:p>
      <w:pPr>
        <w:pStyle w:val="Style20"/>
        <w:numPr>
          <w:ilvl w:val="0"/>
          <w:numId w:val="11"/>
        </w:numPr>
        <w:tabs>
          <w:tab w:leader="none" w:pos="538"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ст.33 Закона о контрактной системе при формировании извещения, так как Заказчиком установлены некорректные требования к товарам, что содержит признаки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20"/>
        <w:numPr>
          <w:ilvl w:val="0"/>
          <w:numId w:val="3"/>
        </w:numPr>
        <w:tabs>
          <w:tab w:leader="none" w:pos="1064" w:val="left"/>
        </w:tabs>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Также в составе жалобы Заявитель указывает, что Заказчиком установлено требование о наличии в комплекте к поставляемым товарам иного изделия, однако требования к такому изделию не указаны, ввиду чего участникам закупки не представляется возможным определить потребность Заказчика и корректным образом заполнить заявку на участие в аукционе.</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Комиссией Управления установлено, что к закупаемому по п.1 «Стационарные цифровые радиостанции» товару Заказчиком установлено в том числе следующее</w:t>
      </w:r>
    </w:p>
    <w:p>
      <w:pPr>
        <w:pStyle w:val="Style20"/>
        <w:tabs>
          <w:tab w:leader="none" w:pos="1724"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требование:</w:t>
        <w:tab/>
        <w:t>«Мобильный компьютер с предустановленными драйверами и</w:t>
      </w:r>
    </w:p>
    <w:p>
      <w:pPr>
        <w:pStyle w:val="Style20"/>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программным обеспечением (1 шт)», «Пластиковый кейс «Комбат МЗУ-К18» или эквивалент для зарядки носимых радиостанций (1 шт)».</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При этом Комиссией Управления установлено, что требования к необходимым комплектующим Заказчиком в извещении не сформированы, что не позволяет участникам закупочной процедуры однозначным образом определить потребность Заказчика.</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Кроме того, Заказчиком установлено «Пластиковый кейс «Комбат МЗУ-К18» или </w:t>
      </w:r>
      <w:r>
        <w:rPr>
          <w:rStyle w:val="CharStyle28"/>
        </w:rPr>
        <w:t>эквивалент</w:t>
      </w:r>
      <w:r>
        <w:rPr>
          <w:lang w:val="ru-RU" w:eastAsia="ru-RU" w:bidi="ru-RU"/>
          <w:w w:val="100"/>
          <w:spacing w:val="0"/>
          <w:color w:val="000000"/>
          <w:position w:val="0"/>
        </w:rPr>
        <w:t>» однако не указаны параметры эквивалентности, ввиду чего участником закупки представляется возможным поставить любой пластиковый кейс, который по мнению участника закупки будет являться эквивалентом товару «Пластиковый кейс «Комбат МЗУ-К18».</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об обоснованности довода жалобы и о нарушении Заказчиком положений п.1</w:t>
      </w:r>
    </w:p>
    <w:p>
      <w:pPr>
        <w:pStyle w:val="Style20"/>
        <w:numPr>
          <w:ilvl w:val="0"/>
          <w:numId w:val="13"/>
        </w:numPr>
        <w:tabs>
          <w:tab w:leader="none" w:pos="472"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ст.33 Закона о контрактной системе при формировании извещения, что содержит признаки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20"/>
        <w:numPr>
          <w:ilvl w:val="0"/>
          <w:numId w:val="3"/>
        </w:numPr>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 Также, согласно доводам Заявителя, установленные Заказчиком характеристики требуемых к поставке товаров ограничивают круг участников закупки, поскольку совокупности установленных требований, соответствуют товары единственного производителя ООО «КБ Механцева».</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Комиссией Управления установлено, что по п.2-4 описания объекта закупки Заказчиком указано на необходимость поставки товара «Радиостанция цифровая портативная (тип 1), Комбат или эквивалент, при этом по п.1 указание на товарный знак отсутствует, что в формально указывает на возможность поставки товаров разных производителей в рамках данного аукциона.</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совокупности установленных требований, соответствуют товары множества производителей, однако затруднился пояснить товары каких производителей, помимо ООО «КБ Механцева», соответствуют совокупности установленных требований.</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Таким образом, в отсутствие документов и сведений, свидетельствующих о возможности поставки товаров разных производителей, Комиссия Управления приходит к выводу об обоснованности довода жалобы и о нарушении Заказчиком положений п.1 ч.1 ст.33 Закона о контрактной системе при формировании извещения, что содержит признаки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20"/>
        <w:numPr>
          <w:ilvl w:val="0"/>
          <w:numId w:val="3"/>
        </w:numPr>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 Также в составе жалобы Заявитель указывает, что Заказчиком установлены избыточные требования к закупаемым товарам, так, по мнению Заявителя избыточными характеристиками являются:</w:t>
      </w:r>
    </w:p>
    <w:p>
      <w:pPr>
        <w:pStyle w:val="Style20"/>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 «Выносной пульт управления (1 шт)»;</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«Конструкция радиостанции должна обеспечивать уровень защиты оболочки обеспечивает пыленепроницаемость и выдерживать длительное погружение в воду под давлением», по п.4 описания объекта закупки;</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Вместе с этим Комиссией Управления установлено, что используемыми Заказчиком при описании объекта закупки позициями КТРУ 26.30.11.150-00000004, КТРУ 26.30.11.150-00000005 в том числе предусмотрена характеристика «Наличие в комплекте: Автомобильная антенна, Выносной пульт управления», что свидетельствует о правомерности установления характеристики «Выносной пульт управления (1 шт)».</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Вместе с этим Комиссией Управления установлено, что характеристика «Конструкция радиостанции должна обеспечивать уровень защиты оболочки обеспечивает пыленепроницаемость и выдерживать длительное погружение в воду под давлением» не предусмотрена вышеозначенными позициями КТРУ, что свидетельствует о неправомерности установления такой дополнительной характеристики.</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Кроме того, в описании объекта закупки, в редакции от 24.06.2022, данная характеристика Заказчиком устранена.</w:t>
      </w:r>
    </w:p>
    <w:p>
      <w:pPr>
        <w:pStyle w:val="Style20"/>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об обоснованности довода жалобы и о нарушении Заказчиком положений п.1</w:t>
      </w:r>
    </w:p>
    <w:p>
      <w:pPr>
        <w:pStyle w:val="Style20"/>
        <w:numPr>
          <w:ilvl w:val="0"/>
          <w:numId w:val="15"/>
        </w:numPr>
        <w:tabs>
          <w:tab w:leader="none" w:pos="524"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ст.33 Закона о контрактной системе при формировании извещения, в частиу становления требования о наличии у товара по п.1 характеристики «Конструкция радиостанции должна обеспечивать уровень защиты оболочки обеспечивает пыленепроницаемость и выдерживать длительное погружение в воду под давлением», что содержит признаки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20"/>
        <w:numPr>
          <w:ilvl w:val="0"/>
          <w:numId w:val="3"/>
        </w:numPr>
        <w:tabs>
          <w:tab w:leader="none" w:pos="1758" w:val="left"/>
        </w:tabs>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Также в составе жалобы Заявитель указывает, что Заказчиком установлены неправомерное требование о соответствии закупаемых товаров следующему перечню нормативно правовых актов, установленному в описании объекта закупки:</w:t>
      </w:r>
    </w:p>
    <w:p>
      <w:pPr>
        <w:pStyle w:val="Style20"/>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«7. Требования соответствия нормативным документам:</w:t>
      </w:r>
    </w:p>
    <w:p>
      <w:pPr>
        <w:pStyle w:val="Style20"/>
        <w:numPr>
          <w:ilvl w:val="0"/>
          <w:numId w:val="17"/>
        </w:numPr>
        <w:tabs>
          <w:tab w:leader="none" w:pos="6614" w:val="left"/>
          <w:tab w:leader="none" w:pos="7199" w:val="left"/>
        </w:tabs>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 xml:space="preserve"> Федерального закона от 30.03.1999</w:t>
        <w:tab/>
        <w:t>№</w:t>
        <w:tab/>
        <w:t>52-ФЗ «О санитарно</w:t>
        <w:softHyphen/>
      </w:r>
    </w:p>
    <w:p>
      <w:pPr>
        <w:pStyle w:val="Style20"/>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эпидемиологическом благополучии населения».</w:t>
      </w:r>
    </w:p>
    <w:p>
      <w:pPr>
        <w:pStyle w:val="Style20"/>
        <w:numPr>
          <w:ilvl w:val="0"/>
          <w:numId w:val="17"/>
        </w:numPr>
        <w:tabs>
          <w:tab w:leader="none" w:pos="6975" w:val="left"/>
        </w:tabs>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 Федерального закона от 27.12.2002 №</w:t>
        <w:tab/>
        <w:t>184-ФЗ «О техническом регулировании».</w:t>
      </w:r>
    </w:p>
    <w:p>
      <w:pPr>
        <w:pStyle w:val="Style20"/>
        <w:numPr>
          <w:ilvl w:val="0"/>
          <w:numId w:val="17"/>
        </w:numPr>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 Постановлением Правительства РФ от 09.03.2010 № 132 «Об обязательных требованиях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содержащихся в технических регламентах Республики Казахстан, являющейся государством - участником таможенного союза».</w:t>
      </w:r>
    </w:p>
    <w:p>
      <w:pPr>
        <w:pStyle w:val="Style20"/>
        <w:numPr>
          <w:ilvl w:val="0"/>
          <w:numId w:val="17"/>
        </w:numPr>
        <w:widowControl w:val="0"/>
        <w:keepNext w:val="0"/>
        <w:keepLines w:val="0"/>
        <w:shd w:val="clear" w:color="auto" w:fill="auto"/>
        <w:bidi w:val="0"/>
        <w:jc w:val="both"/>
        <w:spacing w:before="0" w:after="0"/>
        <w:ind w:left="20" w:right="20" w:firstLine="680"/>
      </w:pPr>
      <w:r>
        <w:rPr>
          <w:lang w:val="ru-RU" w:eastAsia="ru-RU" w:bidi="ru-RU"/>
          <w:w w:val="100"/>
          <w:spacing w:val="0"/>
          <w:color w:val="000000"/>
          <w:position w:val="0"/>
        </w:rPr>
        <w:t xml:space="preserve">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pPr>
        <w:pStyle w:val="Style20"/>
        <w:numPr>
          <w:ilvl w:val="0"/>
          <w:numId w:val="17"/>
        </w:numPr>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 xml:space="preserve"> Федерального закона от 29.06.2015 № 162-ФЗ «О стандартизации в Российской Федерации».</w:t>
      </w:r>
    </w:p>
    <w:p>
      <w:pPr>
        <w:pStyle w:val="Style20"/>
        <w:numPr>
          <w:ilvl w:val="0"/>
          <w:numId w:val="17"/>
        </w:numPr>
        <w:widowControl w:val="0"/>
        <w:keepNext w:val="0"/>
        <w:keepLines w:val="0"/>
        <w:shd w:val="clear" w:color="auto" w:fill="auto"/>
        <w:bidi w:val="0"/>
        <w:jc w:val="both"/>
        <w:spacing w:before="0" w:after="0"/>
        <w:ind w:left="0" w:right="0" w:firstLine="680"/>
      </w:pPr>
      <w:r>
        <w:rPr>
          <w:lang w:val="ru-RU" w:eastAsia="ru-RU" w:bidi="ru-RU"/>
          <w:w w:val="100"/>
          <w:spacing w:val="0"/>
          <w:color w:val="000000"/>
          <w:position w:val="0"/>
        </w:rPr>
        <w:t xml:space="preserve"> ГОСТ 12252-86».</w:t>
      </w:r>
    </w:p>
    <w:p>
      <w:pPr>
        <w:pStyle w:val="Style20"/>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При этом Заявитель указывает, что у участников закупочной процедуры отсутствует возможность оформления документов, подтверждающих соответствие поставляемого товара установленным требованиям.</w:t>
      </w:r>
    </w:p>
    <w:p>
      <w:pPr>
        <w:pStyle w:val="Style20"/>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На заседании Комиссии Управления представитель Заказчика пояснил, что обжалуемое требование установлено Заказчиком ввиду необходимости поставки товара, соответствующего требованиям законодательства, ввиду чего такие требования были отображены в п.7 описания объекта закупки.</w:t>
      </w:r>
    </w:p>
    <w:p>
      <w:pPr>
        <w:pStyle w:val="Style20"/>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Комиссия Управления отмечает, что Заказчиком установлено обобщенное требование о соответствии поставляемого товара положениям вышеуказанных актов, при этом в извещении об осуществлении закупочной процедуры не установлено требование о представлении документов и сведений, подтверждающих соответствие товара требованиям данных актов.</w:t>
      </w:r>
    </w:p>
    <w:p>
      <w:pPr>
        <w:pStyle w:val="Style20"/>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заседании Комиссии Управления представитель Заявителя, а также в составе жалобы Заявителем не представлено документов и сведений свидетельствующих об ограничении количества участников закупки, ввиду установления оспариваемых требований, кроме того, не представлено документов и сведений свидетельствующих о нарушении Заказчиком Закона о контрактной системе при установлении оспариваемых требований.</w:t>
      </w:r>
    </w:p>
    <w:p>
      <w:pPr>
        <w:pStyle w:val="Style20"/>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На основании вышеизложенного у Комиссии Управления отсутствуют правовые основания считать Заказчика нарушившим положения Закона о контрактной системе при оценки заявок Заявителя.</w:t>
      </w:r>
    </w:p>
    <w:p>
      <w:pPr>
        <w:pStyle w:val="Style20"/>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Таким образом, Комиссия Управления приходит к выводу, что данный довод жалобы Заявителя не нашел своего подтверждения и является необоснованным.</w:t>
      </w:r>
    </w:p>
    <w:p>
      <w:pPr>
        <w:pStyle w:val="Style20"/>
        <w:widowControl w:val="0"/>
        <w:keepNext w:val="0"/>
        <w:keepLines w:val="0"/>
        <w:shd w:val="clear" w:color="auto" w:fill="auto"/>
        <w:bidi w:val="0"/>
        <w:jc w:val="both"/>
        <w:spacing w:before="0" w:after="0"/>
        <w:ind w:left="0" w:right="20" w:firstLine="680"/>
        <w:sectPr>
          <w:pgSz w:w="11909" w:h="16838"/>
          <w:pgMar w:top="1259" w:left="849" w:right="826" w:bottom="1321"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26"/>
        <w:widowControl w:val="0"/>
        <w:keepNext/>
        <w:keepLines/>
        <w:shd w:val="clear" w:color="auto" w:fill="auto"/>
        <w:bidi w:val="0"/>
        <w:jc w:val="left"/>
        <w:spacing w:before="0" w:after="296" w:line="260" w:lineRule="exact"/>
        <w:ind w:left="4760" w:right="0" w:firstLine="0"/>
      </w:pPr>
      <w:bookmarkStart w:id="1" w:name="bookmark1"/>
      <w:r>
        <w:rPr>
          <w:lang w:val="ru-RU" w:eastAsia="ru-RU" w:bidi="ru-RU"/>
          <w:w w:val="100"/>
          <w:spacing w:val="0"/>
          <w:color w:val="000000"/>
          <w:position w:val="0"/>
        </w:rPr>
        <w:t>РЕШИЛА:</w:t>
      </w:r>
      <w:bookmarkEnd w:id="1"/>
    </w:p>
    <w:p>
      <w:pPr>
        <w:pStyle w:val="Style20"/>
        <w:numPr>
          <w:ilvl w:val="0"/>
          <w:numId w:val="19"/>
        </w:numPr>
        <w:tabs>
          <w:tab w:leader="none" w:pos="1395" w:val="left"/>
          <w:tab w:leader="none" w:pos="10178" w:val="right"/>
        </w:tabs>
        <w:widowControl w:val="0"/>
        <w:keepNext w:val="0"/>
        <w:keepLines w:val="0"/>
        <w:shd w:val="clear" w:color="auto" w:fill="auto"/>
        <w:bidi w:val="0"/>
        <w:jc w:val="both"/>
        <w:spacing w:before="0" w:after="0" w:line="336" w:lineRule="exact"/>
        <w:ind w:left="0" w:right="0" w:firstLine="680"/>
      </w:pPr>
      <w:r>
        <w:rPr>
          <w:lang w:val="ru-RU" w:eastAsia="ru-RU" w:bidi="ru-RU"/>
          <w:w w:val="100"/>
          <w:spacing w:val="0"/>
          <w:color w:val="000000"/>
          <w:position w:val="0"/>
        </w:rPr>
        <w:t>Признать жалобу ООО «Софт-Трейд» на</w:t>
        <w:tab/>
        <w:t>действия Департамента</w:t>
      </w:r>
    </w:p>
    <w:p>
      <w:pPr>
        <w:pStyle w:val="Style20"/>
        <w:tabs>
          <w:tab w:leader="none" w:pos="1395" w:val="left"/>
          <w:tab w:leader="none" w:pos="10178" w:val="right"/>
        </w:tabs>
        <w:widowControl w:val="0"/>
        <w:keepNext w:val="0"/>
        <w:keepLines w:val="0"/>
        <w:shd w:val="clear" w:color="auto" w:fill="auto"/>
        <w:bidi w:val="0"/>
        <w:jc w:val="both"/>
        <w:spacing w:before="0" w:after="0" w:line="336" w:lineRule="exact"/>
        <w:ind w:left="0" w:right="20" w:firstLine="0"/>
      </w:pPr>
      <w:r>
        <w:rPr>
          <w:lang w:val="ru-RU" w:eastAsia="ru-RU" w:bidi="ru-RU"/>
          <w:w w:val="100"/>
          <w:spacing w:val="0"/>
          <w:color w:val="000000"/>
          <w:position w:val="0"/>
        </w:rPr>
        <w:t>региональной безопасности и противодействия коррупции города Москвы обоснованной в части доводов относительно установления характеристик товара, не предусмотренных КТРУ, отсутствия параметров совместимости, отсутствия описания</w:t>
        <w:tab/>
        <w:t>характеристик требуемых комплектующих,</w:t>
        <w:tab/>
        <w:t>отсутствия параметров</w:t>
      </w:r>
    </w:p>
    <w:p>
      <w:pPr>
        <w:pStyle w:val="Style20"/>
        <w:widowControl w:val="0"/>
        <w:keepNext w:val="0"/>
        <w:keepLines w:val="0"/>
        <w:shd w:val="clear" w:color="auto" w:fill="auto"/>
        <w:bidi w:val="0"/>
        <w:jc w:val="both"/>
        <w:spacing w:before="0" w:after="0" w:line="336" w:lineRule="exact"/>
        <w:ind w:left="0" w:right="20" w:firstLine="0"/>
      </w:pPr>
      <w:r>
        <w:rPr>
          <w:lang w:val="ru-RU" w:eastAsia="ru-RU" w:bidi="ru-RU"/>
          <w:w w:val="100"/>
          <w:spacing w:val="0"/>
          <w:color w:val="000000"/>
          <w:position w:val="0"/>
        </w:rPr>
        <w:t>эквивалентности, соответствия совокупности установленных требований к товарам, изделиям единственного производителя ООО «КБ Механцева».</w:t>
      </w:r>
    </w:p>
    <w:p>
      <w:pPr>
        <w:pStyle w:val="Style20"/>
        <w:numPr>
          <w:ilvl w:val="0"/>
          <w:numId w:val="19"/>
        </w:numPr>
        <w:tabs>
          <w:tab w:leader="none" w:pos="1395" w:val="left"/>
          <w:tab w:leader="none" w:pos="10178" w:val="right"/>
        </w:tabs>
        <w:widowControl w:val="0"/>
        <w:keepNext w:val="0"/>
        <w:keepLines w:val="0"/>
        <w:shd w:val="clear" w:color="auto" w:fill="auto"/>
        <w:bidi w:val="0"/>
        <w:jc w:val="both"/>
        <w:spacing w:before="0" w:after="0" w:line="346" w:lineRule="exact"/>
        <w:ind w:left="0" w:right="0" w:firstLine="680"/>
      </w:pPr>
      <w:r>
        <w:rPr>
          <w:lang w:val="ru-RU" w:eastAsia="ru-RU" w:bidi="ru-RU"/>
          <w:w w:val="100"/>
          <w:spacing w:val="0"/>
          <w:color w:val="000000"/>
          <w:position w:val="0"/>
        </w:rPr>
        <w:t>Признать в действиях Заказчика нарушение</w:t>
        <w:tab/>
        <w:t>ч.6 ст.23, п.1 ч.1 ст.33</w:t>
      </w:r>
    </w:p>
    <w:p>
      <w:pPr>
        <w:pStyle w:val="Style20"/>
        <w:widowControl w:val="0"/>
        <w:keepNext w:val="0"/>
        <w:keepLines w:val="0"/>
        <w:shd w:val="clear" w:color="auto" w:fill="auto"/>
        <w:bidi w:val="0"/>
        <w:jc w:val="both"/>
        <w:spacing w:before="0" w:after="0" w:line="346" w:lineRule="exact"/>
        <w:ind w:left="0" w:right="0" w:firstLine="0"/>
      </w:pPr>
      <w:r>
        <w:rPr>
          <w:lang w:val="ru-RU" w:eastAsia="ru-RU" w:bidi="ru-RU"/>
          <w:w w:val="100"/>
          <w:spacing w:val="0"/>
          <w:color w:val="000000"/>
          <w:position w:val="0"/>
        </w:rPr>
        <w:t>Закона о контрактной системе.</w:t>
      </w:r>
    </w:p>
    <w:p>
      <w:pPr>
        <w:pStyle w:val="Style20"/>
        <w:numPr>
          <w:ilvl w:val="0"/>
          <w:numId w:val="19"/>
        </w:numPr>
        <w:tabs>
          <w:tab w:leader="none" w:pos="1395" w:val="left"/>
        </w:tabs>
        <w:widowControl w:val="0"/>
        <w:keepNext w:val="0"/>
        <w:keepLines w:val="0"/>
        <w:shd w:val="clear" w:color="auto" w:fill="auto"/>
        <w:bidi w:val="0"/>
        <w:jc w:val="both"/>
        <w:spacing w:before="0" w:after="0" w:line="336" w:lineRule="exact"/>
        <w:ind w:left="0" w:right="20" w:firstLine="680"/>
      </w:pPr>
      <w:r>
        <w:rPr>
          <w:lang w:val="ru-RU" w:eastAsia="ru-RU" w:bidi="ru-RU"/>
          <w:w w:val="100"/>
          <w:spacing w:val="0"/>
          <w:color w:val="000000"/>
          <w:position w:val="0"/>
        </w:rPr>
        <w:t>Выдать Заказчику обязательное для исполнения предписание об устранении нарушений законодательства о контрактной системе.</w:t>
      </w:r>
    </w:p>
    <w:p>
      <w:pPr>
        <w:pStyle w:val="Style20"/>
        <w:numPr>
          <w:ilvl w:val="0"/>
          <w:numId w:val="19"/>
        </w:numPr>
        <w:widowControl w:val="0"/>
        <w:keepNext w:val="0"/>
        <w:keepLines w:val="0"/>
        <w:shd w:val="clear" w:color="auto" w:fill="auto"/>
        <w:bidi w:val="0"/>
        <w:jc w:val="both"/>
        <w:spacing w:before="0" w:after="296" w:line="336" w:lineRule="exact"/>
        <w:ind w:left="0" w:right="2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20"/>
        <w:widowControl w:val="0"/>
        <w:keepNext w:val="0"/>
        <w:keepLines w:val="0"/>
        <w:shd w:val="clear" w:color="auto" w:fill="auto"/>
        <w:bidi w:val="0"/>
        <w:jc w:val="both"/>
        <w:spacing w:before="0" w:after="0" w:line="341" w:lineRule="exact"/>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20"/>
        <w:framePr w:w="2992" w:h="1238" w:wrap="around" w:vAnchor="text" w:hAnchor="margin" w:x="6" w:y="-297"/>
        <w:widowControl w:val="0"/>
        <w:keepNext w:val="0"/>
        <w:keepLines w:val="0"/>
        <w:shd w:val="clear" w:color="auto" w:fill="auto"/>
        <w:bidi w:val="0"/>
        <w:jc w:val="both"/>
        <w:spacing w:before="0" w:after="0" w:line="619" w:lineRule="exact"/>
        <w:ind w:left="0" w:right="100" w:firstLine="0"/>
      </w:pPr>
      <w:r>
        <w:rPr>
          <w:rStyle w:val="CharStyle32"/>
          <w:spacing w:val="0"/>
        </w:rPr>
        <w:t>Председательствующий Члены Комиссии</w:t>
      </w:r>
    </w:p>
    <w:p>
      <w:pPr>
        <w:pStyle w:val="Style20"/>
        <w:widowControl w:val="0"/>
        <w:keepNext w:val="0"/>
        <w:keepLines w:val="0"/>
        <w:shd w:val="clear" w:color="auto" w:fill="auto"/>
        <w:bidi w:val="0"/>
        <w:jc w:val="right"/>
        <w:spacing w:before="0" w:after="4347" w:line="624" w:lineRule="exact"/>
        <w:ind w:left="5060" w:right="20" w:firstLine="0"/>
      </w:pPr>
      <w:r>
        <w:rPr>
          <w:lang w:val="ru-RU" w:eastAsia="ru-RU" w:bidi="ru-RU"/>
          <w:w w:val="100"/>
          <w:spacing w:val="0"/>
          <w:color w:val="000000"/>
          <w:position w:val="0"/>
        </w:rPr>
        <w:t>С.И. Казарин А.А. Матюшенко М.О. Мацнева</w:t>
      </w:r>
    </w:p>
    <w:p>
      <w:pPr>
        <w:pStyle w:val="Style10"/>
        <w:widowControl w:val="0"/>
        <w:keepNext w:val="0"/>
        <w:keepLines w:val="0"/>
        <w:shd w:val="clear" w:color="auto" w:fill="auto"/>
        <w:bidi w:val="0"/>
        <w:jc w:val="left"/>
        <w:spacing w:before="0" w:after="0" w:line="965" w:lineRule="exact"/>
        <w:ind w:left="0" w:right="6720" w:firstLine="0"/>
      </w:pPr>
      <w:r>
        <w:rPr>
          <w:lang w:val="ru-RU" w:eastAsia="ru-RU" w:bidi="ru-RU"/>
          <w:w w:val="100"/>
          <w:spacing w:val="0"/>
          <w:color w:val="000000"/>
          <w:position w:val="0"/>
        </w:rPr>
        <w:t xml:space="preserve">Исп. Матюшенко А.А., 8(495) 784-75-05 </w:t>
      </w:r>
      <w:r>
        <w:rPr>
          <w:rStyle w:val="CharStyle33"/>
        </w:rPr>
        <w:t>2022-38259</w:t>
      </w:r>
    </w:p>
    <w:sectPr>
      <w:headerReference w:type="default" r:id="rId12"/>
      <w:footerReference w:type="default" r:id="rId13"/>
      <w:footerReference w:type="first" r:id="rId14"/>
      <w:pgSz w:w="11909" w:h="16838"/>
      <w:pgMar w:top="885" w:left="847" w:right="847" w:bottom="37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9pt;margin-top:795.45pt;width:56.9pt;height:7.9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2022-38259</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05pt;margin-top:805.75pt;width:57.1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2022-38259</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4.1pt;margin-top:38.pt;width:10.1pt;height:7.7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293.4pt;margin-top:19.75pt;width:7.9pt;height:7.7pt;z-index:-188744061;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30.06.%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22"/>
      <w:numFmt w:val="decimal"/>
      <w:lvlText w:val="21.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val="0"/>
      <w:bCs w:val="0"/>
      <w:i w:val="0"/>
      <w:iCs w:val="0"/>
      <w:u w:val="none"/>
      <w:strike w:val="0"/>
      <w:smallCaps w:val="0"/>
      <w:sz w:val="21"/>
      <w:szCs w:val="21"/>
      <w:rFonts w:ascii="Trebuchet MS" w:eastAsia="Trebuchet MS" w:hAnsi="Trebuchet MS" w:cs="Trebuchet MS"/>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7">
    <w:name w:val="Заголовок №1_"/>
    <w:basedOn w:val="DefaultParagraphFont"/>
    <w:link w:val="Style26"/>
    <w:rPr>
      <w:b/>
      <w:bCs/>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 Курсив"/>
    <w:basedOn w:val="CharStyle21"/>
    <w:rPr>
      <w:lang w:val="ru-RU" w:eastAsia="ru-RU" w:bidi="ru-RU"/>
      <w:i/>
      <w:iCs/>
      <w:w w:val="100"/>
      <w:spacing w:val="0"/>
      <w:color w:val="000000"/>
      <w:position w:val="0"/>
    </w:rPr>
  </w:style>
  <w:style w:type="character" w:customStyle="1" w:styleId="CharStyle30">
    <w:name w:val="Основной текст (6)_"/>
    <w:basedOn w:val="DefaultParagraphFont"/>
    <w:link w:val="Style29"/>
    <w:rPr>
      <w:b w:val="0"/>
      <w:bCs w:val="0"/>
      <w:i/>
      <w:iCs/>
      <w:u w:val="none"/>
      <w:strike w:val="0"/>
      <w:smallCaps w:val="0"/>
      <w:sz w:val="26"/>
      <w:szCs w:val="26"/>
      <w:rFonts w:ascii="Times New Roman" w:eastAsia="Times New Roman" w:hAnsi="Times New Roman" w:cs="Times New Roman"/>
    </w:rPr>
  </w:style>
  <w:style w:type="character" w:customStyle="1" w:styleId="CharStyle31">
    <w:name w:val="Основной текст (6) + Не курсив"/>
    <w:basedOn w:val="CharStyle30"/>
    <w:rPr>
      <w:lang w:val="ru-RU" w:eastAsia="ru-RU" w:bidi="ru-RU"/>
      <w:i/>
      <w:iCs/>
      <w:w w:val="100"/>
      <w:spacing w:val="0"/>
      <w:color w:val="000000"/>
      <w:position w:val="0"/>
    </w:rPr>
  </w:style>
  <w:style w:type="character" w:customStyle="1" w:styleId="CharStyle32">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33">
    <w:name w:val="Основной текст (2) + 10,5 pt,Полужирный"/>
    <w:basedOn w:val="CharStyle11"/>
    <w:rPr>
      <w:lang w:val="ru-RU" w:eastAsia="ru-RU" w:bidi="ru-RU"/>
      <w:b/>
      <w:bCs/>
      <w:sz w:val="21"/>
      <w:szCs w:val="21"/>
      <w:w w:val="100"/>
      <w:spacing w:val="0"/>
      <w:color w:val="000000"/>
      <w:position w:val="0"/>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val="0"/>
      <w:bCs w:val="0"/>
      <w:i w:val="0"/>
      <w:iCs w:val="0"/>
      <w:u w:val="none"/>
      <w:strike w:val="0"/>
      <w:smallCaps w:val="0"/>
      <w:sz w:val="21"/>
      <w:szCs w:val="21"/>
      <w:rFonts w:ascii="Trebuchet MS" w:eastAsia="Trebuchet MS" w:hAnsi="Trebuchet MS" w:cs="Trebuchet MS"/>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jc w:val="center"/>
      <w:spacing w:before="540" w:after="180" w:line="0" w:lineRule="exact"/>
      <w:ind w:hanging="240"/>
    </w:pPr>
    <w:rPr>
      <w:b/>
      <w:bCs/>
      <w:i w:val="0"/>
      <w:iCs w:val="0"/>
      <w:u w:val="none"/>
      <w:strike w:val="0"/>
      <w:smallCaps w:val="0"/>
      <w:sz w:val="26"/>
      <w:szCs w:val="26"/>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line="322" w:lineRule="exact"/>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footer" Target="footer4.xml"/></Relationships>
</file>