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5165" w:wrap="around" w:hAnchor="margin" w:x="35" w:y="-983"/>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207pt;height:258pt;">
            <v:imagedata r:id="rId5" r:href="rId6"/>
          </v:shape>
        </w:pict>
      </w:r>
    </w:p>
    <w:p>
      <w:pPr>
        <w:pStyle w:val="Style5"/>
        <w:widowControl w:val="0"/>
        <w:keepNext w:val="0"/>
        <w:keepLines w:val="0"/>
        <w:shd w:val="clear" w:color="auto" w:fill="auto"/>
        <w:bidi w:val="0"/>
        <w:jc w:val="left"/>
        <w:spacing w:before="0" w:after="312" w:line="260" w:lineRule="exact"/>
        <w:ind w:left="5340" w:right="0"/>
      </w:pPr>
      <w:r>
        <w:rPr>
          <w:lang w:val="ru-RU" w:eastAsia="ru-RU" w:bidi="ru-RU"/>
          <w:w w:val="100"/>
          <w:spacing w:val="0"/>
          <w:color w:val="000000"/>
          <w:position w:val="0"/>
        </w:rPr>
        <w:t>ГНЦ РФ - ИМБП РАН</w:t>
      </w:r>
    </w:p>
    <w:p>
      <w:pPr>
        <w:pStyle w:val="Style5"/>
        <w:widowControl w:val="0"/>
        <w:keepNext w:val="0"/>
        <w:keepLines w:val="0"/>
        <w:shd w:val="clear" w:color="auto" w:fill="auto"/>
        <w:bidi w:val="0"/>
        <w:jc w:val="both"/>
        <w:spacing w:before="0" w:after="346" w:line="317" w:lineRule="exact"/>
        <w:ind w:left="1160" w:right="20" w:firstLine="0"/>
      </w:pPr>
      <w:r>
        <w:rPr>
          <w:lang w:val="ru-RU" w:eastAsia="ru-RU" w:bidi="ru-RU"/>
          <w:w w:val="100"/>
          <w:spacing w:val="0"/>
          <w:color w:val="000000"/>
          <w:position w:val="0"/>
        </w:rPr>
        <w:t>Хорошевское ш., д. 76А, г. Москва, 123007</w:t>
      </w:r>
    </w:p>
    <w:p>
      <w:pPr>
        <w:pStyle w:val="Style5"/>
        <w:widowControl w:val="0"/>
        <w:keepNext w:val="0"/>
        <w:keepLines w:val="0"/>
        <w:shd w:val="clear" w:color="auto" w:fill="auto"/>
        <w:bidi w:val="0"/>
        <w:jc w:val="left"/>
        <w:spacing w:before="0" w:after="303" w:line="260" w:lineRule="exact"/>
        <w:ind w:left="5340" w:right="0"/>
      </w:pPr>
      <w:r>
        <w:rPr>
          <w:lang w:val="ru-RU" w:eastAsia="ru-RU" w:bidi="ru-RU"/>
          <w:w w:val="100"/>
          <w:spacing w:val="0"/>
          <w:color w:val="000000"/>
          <w:position w:val="0"/>
        </w:rPr>
        <w:t>ООО «НИИ «Агропромстрой»</w:t>
      </w:r>
    </w:p>
    <w:p>
      <w:pPr>
        <w:pStyle w:val="Style5"/>
        <w:widowControl w:val="0"/>
        <w:keepNext w:val="0"/>
        <w:keepLines w:val="0"/>
        <w:shd w:val="clear" w:color="auto" w:fill="auto"/>
        <w:bidi w:val="0"/>
        <w:jc w:val="both"/>
        <w:spacing w:before="0" w:after="349" w:line="322" w:lineRule="exact"/>
        <w:ind w:left="1160" w:right="20" w:firstLine="0"/>
      </w:pPr>
      <w:r>
        <w:rPr>
          <w:lang w:val="ru-RU" w:eastAsia="ru-RU" w:bidi="ru-RU"/>
          <w:w w:val="100"/>
          <w:spacing w:val="0"/>
          <w:color w:val="000000"/>
          <w:position w:val="0"/>
        </w:rPr>
        <w:t>пр-кт. им. 50 лет Октября, д. 110 А, г. Саратов, 410040</w:t>
      </w:r>
    </w:p>
    <w:p>
      <w:pPr>
        <w:pStyle w:val="Style5"/>
        <w:widowControl w:val="0"/>
        <w:keepNext w:val="0"/>
        <w:keepLines w:val="0"/>
        <w:shd w:val="clear" w:color="auto" w:fill="auto"/>
        <w:bidi w:val="0"/>
        <w:jc w:val="left"/>
        <w:spacing w:before="0" w:after="308" w:line="260" w:lineRule="exact"/>
        <w:ind w:left="5340" w:right="0"/>
      </w:pPr>
      <w:r>
        <w:rPr>
          <w:lang w:val="ru-RU" w:eastAsia="ru-RU" w:bidi="ru-RU"/>
          <w:w w:val="100"/>
          <w:spacing w:val="0"/>
          <w:color w:val="000000"/>
          <w:position w:val="0"/>
        </w:rPr>
        <w:t>ООО «ЭМ-ЭМ-ТИ РУС»</w:t>
      </w:r>
    </w:p>
    <w:p>
      <w:pPr>
        <w:pStyle w:val="Style5"/>
        <w:widowControl w:val="0"/>
        <w:keepNext w:val="0"/>
        <w:keepLines w:val="0"/>
        <w:shd w:val="clear" w:color="auto" w:fill="auto"/>
        <w:bidi w:val="0"/>
        <w:jc w:val="left"/>
        <w:spacing w:before="0" w:after="660" w:line="322" w:lineRule="exact"/>
        <w:ind w:left="5340" w:right="20"/>
      </w:pPr>
      <w:r>
        <w:rPr>
          <w:lang w:val="ru-RU" w:eastAsia="ru-RU" w:bidi="ru-RU"/>
          <w:w w:val="100"/>
          <w:spacing w:val="0"/>
          <w:color w:val="000000"/>
          <w:position w:val="0"/>
        </w:rPr>
        <w:t>ул. Славянская, д.19, оф. 506, г. Нижний Новгород, 603000</w:t>
      </w:r>
    </w:p>
    <w:p>
      <w:pPr>
        <w:pStyle w:val="Style10"/>
        <w:tabs>
          <w:tab w:leader="none" w:pos="8992" w:val="left"/>
        </w:tabs>
        <w:widowControl w:val="0"/>
        <w:keepNext w:val="0"/>
        <w:keepLines w:val="0"/>
        <w:shd w:val="clear" w:color="auto" w:fill="auto"/>
        <w:bidi w:val="0"/>
        <w:jc w:val="left"/>
        <w:spacing w:before="0" w:after="0"/>
        <w:ind w:left="40" w:right="20"/>
      </w:pPr>
      <w:r>
        <w:rPr>
          <w:lang w:val="ru-RU" w:eastAsia="ru-RU" w:bidi="ru-RU"/>
          <w:w w:val="100"/>
          <w:spacing w:val="0"/>
          <w:color w:val="000000"/>
          <w:position w:val="0"/>
        </w:rPr>
        <w:t>РЕШЕНИЕ по делу № 077/06/106-10016/2022о нарушении законодательства о контрактной системе 30.06.2022</w:t>
        <w:tab/>
        <w:t>г. Москва</w:t>
      </w:r>
    </w:p>
    <w:p>
      <w:pPr>
        <w:pStyle w:val="Style5"/>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Председательствующего — главного специалиста-эксперта отдела обжалования государственных закупок Н.А. Узкого,</w:t>
      </w:r>
    </w:p>
    <w:p>
      <w:pPr>
        <w:pStyle w:val="Style5"/>
        <w:widowControl w:val="0"/>
        <w:keepNext w:val="0"/>
        <w:keepLines w:val="0"/>
        <w:shd w:val="clear" w:color="auto" w:fill="auto"/>
        <w:bidi w:val="0"/>
        <w:jc w:val="both"/>
        <w:spacing w:before="0" w:after="0" w:line="322" w:lineRule="exact"/>
        <w:ind w:left="40" w:right="0" w:firstLine="70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Специалиста-эксперта отдела обжалования государственных закупок А.З. Касимовой,</w:t>
      </w:r>
    </w:p>
    <w:p>
      <w:pPr>
        <w:pStyle w:val="Style5"/>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Специалиста-эксперта отдела обжалования государственных закупок Е.О. Сгибнева,</w:t>
      </w:r>
    </w:p>
    <w:p>
      <w:pPr>
        <w:pStyle w:val="Style5"/>
        <w:tabs>
          <w:tab w:leader="none" w:pos="597" w:val="left"/>
        </w:tabs>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5"/>
        <w:widowControl w:val="0"/>
        <w:keepNext w:val="0"/>
        <w:keepLines w:val="0"/>
        <w:shd w:val="clear" w:color="auto" w:fill="auto"/>
        <w:bidi w:val="0"/>
        <w:jc w:val="both"/>
        <w:spacing w:before="0" w:after="0" w:line="322" w:lineRule="exact"/>
        <w:ind w:left="4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line="322" w:lineRule="exact"/>
        <w:ind w:left="40" w:right="0" w:firstLine="700"/>
      </w:pPr>
      <w:r>
        <w:rPr>
          <w:lang w:val="ru-RU" w:eastAsia="ru-RU" w:bidi="ru-RU"/>
          <w:w w:val="100"/>
          <w:spacing w:val="0"/>
          <w:color w:val="000000"/>
          <w:position w:val="0"/>
        </w:rPr>
        <w:t>при участии представителей:</w:t>
      </w:r>
    </w:p>
    <w:p>
      <w:pPr>
        <w:pStyle w:val="Style5"/>
        <w:widowControl w:val="0"/>
        <w:keepNext w:val="0"/>
        <w:keepLines w:val="0"/>
        <w:shd w:val="clear" w:color="auto" w:fill="auto"/>
        <w:bidi w:val="0"/>
        <w:jc w:val="left"/>
        <w:spacing w:before="0" w:after="0" w:line="322" w:lineRule="exact"/>
        <w:ind w:left="40" w:right="20" w:firstLine="700"/>
      </w:pPr>
      <w:r>
        <w:rPr>
          <w:lang w:val="ru-RU" w:eastAsia="ru-RU" w:bidi="ru-RU"/>
          <w:w w:val="100"/>
          <w:spacing w:val="0"/>
          <w:color w:val="000000"/>
          <w:position w:val="0"/>
        </w:rPr>
        <w:t>ГНЦ РФ - ИМБП РАН: А.Е. Бойко (по дов. №109-25/2741 от 30.11.2020), ООО «НИИ «Агропромстрой»: А.Н. Баранова (по дов. №73 от 01.03.2022), ООО «ЭМ-ЭМ-ТИ РУС»: В.А. Серебрякова (ген. директор на основании приказа №496-к от 30.12.2015),</w:t>
      </w:r>
    </w:p>
    <w:p>
      <w:pPr>
        <w:pStyle w:val="Style3"/>
        <w:framePr w:w="1685" w:h="394" w:wrap="around" w:vAnchor="text" w:hAnchor="margin" w:x="385" w:y="1345"/>
        <w:widowControl w:val="0"/>
        <w:keepNext w:val="0"/>
        <w:keepLines w:val="0"/>
        <w:shd w:val="clear" w:color="auto" w:fill="auto"/>
        <w:bidi w:val="0"/>
        <w:jc w:val="left"/>
        <w:spacing w:before="0" w:after="0" w:line="240" w:lineRule="auto"/>
        <w:ind w:left="0" w:right="0" w:firstLine="0"/>
      </w:pPr>
      <w:r>
        <w:rPr>
          <w:w w:val="100"/>
          <w:spacing w:val="0"/>
          <w:color w:val="000000"/>
          <w:position w:val="0"/>
        </w:rPr>
        <w:t>001005426680</w:t>
      </w:r>
    </w:p>
    <w:p>
      <w:pPr>
        <w:pStyle w:val="Style5"/>
        <w:widowControl w:val="0"/>
        <w:keepNext w:val="0"/>
        <w:keepLines w:val="0"/>
        <w:shd w:val="clear" w:color="auto" w:fill="auto"/>
        <w:bidi w:val="0"/>
        <w:jc w:val="both"/>
        <w:spacing w:before="0" w:after="356" w:line="322" w:lineRule="exact"/>
        <w:ind w:left="40" w:right="20" w:firstLine="700"/>
      </w:pPr>
      <w:r>
        <w:rPr>
          <w:lang w:val="ru-RU" w:eastAsia="ru-RU" w:bidi="ru-RU"/>
          <w:w w:val="100"/>
          <w:spacing w:val="0"/>
          <w:color w:val="000000"/>
          <w:position w:val="0"/>
        </w:rPr>
        <w:t>рассмотрев жалобу ООО «ЭМ-ЭМ-ТИ РУС» (далее — Заявитель) на действия Г</w:t>
      </w:r>
      <w:r>
        <w:rPr>
          <w:rStyle w:val="CharStyle12"/>
        </w:rPr>
        <w:t>НЦ</w:t>
      </w:r>
      <w:r>
        <w:rPr>
          <w:lang w:val="ru-RU" w:eastAsia="ru-RU" w:bidi="ru-RU"/>
          <w:w w:val="100"/>
          <w:spacing w:val="0"/>
          <w:color w:val="000000"/>
          <w:position w:val="0"/>
        </w:rPr>
        <w:t xml:space="preserve"> РФ - ИМБП РАН (далее — Заказчик) при проведении открытого конкурса в электронной форме на право заключения государственного</w:t>
      </w:r>
    </w:p>
    <w:p>
      <w:pPr>
        <w:framePr w:h="461" w:wrap="notBeside" w:vAnchor="text" w:hAnchor="text" w:y="1"/>
        <w:widowControl w:val="0"/>
        <w:jc w:val="left"/>
        <w:rPr>
          <w:sz w:val="2"/>
          <w:szCs w:val="2"/>
        </w:rPr>
      </w:pPr>
      <w:r>
        <w:pict>
          <v:shape id="_x0000_s1027" type="#_x0000_t75" style="width:126pt;height:23pt;">
            <v:imagedata r:id="rId7" r:href="rId8"/>
          </v:shape>
        </w:pict>
      </w:r>
    </w:p>
    <w:p>
      <w:pPr>
        <w:widowControl w:val="0"/>
        <w:rPr>
          <w:sz w:val="2"/>
          <w:szCs w:val="2"/>
        </w:rPr>
      </w:pPr>
      <w:r>
        <w:br w:type="page"/>
      </w:r>
    </w:p>
    <w:p>
      <w:pPr>
        <w:widowControl w:val="0"/>
      </w:pPr>
      <w:r>
        <w:br w:type="page"/>
      </w:r>
    </w:p>
    <w:p>
      <w:pPr>
        <w:pStyle w:val="Style5"/>
        <w:widowControl w:val="0"/>
        <w:keepNext w:val="0"/>
        <w:keepLines w:val="0"/>
        <w:shd w:val="clear" w:color="auto" w:fill="auto"/>
        <w:bidi w:val="0"/>
        <w:jc w:val="both"/>
        <w:spacing w:before="0" w:after="349" w:line="322" w:lineRule="exact"/>
        <w:ind w:left="0" w:right="20" w:firstLine="0"/>
      </w:pPr>
      <w:r>
        <w:rPr>
          <w:lang w:val="ru-RU" w:eastAsia="ru-RU" w:bidi="ru-RU"/>
          <w:w w:val="100"/>
          <w:spacing w:val="0"/>
          <w:color w:val="000000"/>
          <w:position w:val="0"/>
        </w:rPr>
        <w:t>контракта на разработку проектно-сметной документации на комплексный капитальный ремонт лабораторного корпуса с виварием (Закупка № 0373100067522000017) (далее — конкурс),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№727/14 (далее - Административный регламент),</w:t>
      </w:r>
    </w:p>
    <w:p>
      <w:pPr>
        <w:pStyle w:val="Style13"/>
        <w:widowControl w:val="0"/>
        <w:keepNext/>
        <w:keepLines/>
        <w:shd w:val="clear" w:color="auto" w:fill="auto"/>
        <w:bidi w:val="0"/>
        <w:spacing w:before="0" w:after="308"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конкурса.</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По результатам рассмотрения жалобы, рассмотрев представленные документы и сведения, запрашиваемые письмом Московского УФАС России от 27.06.2022 №ЕИ/34083/22, Комиссия Управления установила следующее.</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5"/>
        <w:numPr>
          <w:ilvl w:val="0"/>
          <w:numId w:val="1"/>
        </w:numPr>
        <w:tabs>
          <w:tab w:leader="none" w:pos="1009" w:val="left"/>
        </w:tabs>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Заявитель обжалует действия конкурсной комиссий Заказчика в отношении результатов оценки заявок на участие в конкурсе по показателю «Качественные характеристики объекта закупки» нестоимостного критерия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соответствии с ч.6 ст.106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п.3 и п.4 ч.1 ст.32 Закона о контрактной системе критериями оценки этих заявок, окончательных предложений.</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Таким образом, предмет жалобы о присвоении результатов оценки по критерию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не относится к компетенции Комиссии Управления, и обжаловать такие результаты оценки заявок возможно исключительно в судебном порядке.</w:t>
      </w:r>
    </w:p>
    <w:p>
      <w:pPr>
        <w:pStyle w:val="Style5"/>
        <w:numPr>
          <w:ilvl w:val="0"/>
          <w:numId w:val="1"/>
        </w:numPr>
        <w:tabs>
          <w:tab w:leader="none" w:pos="1147" w:val="left"/>
        </w:tabs>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Также в составе жалобы Заявитель обжалует действия конкурсной комиссий Заказчика в части оценки заявки ООО «НИИ «Агропромстрой» (идентификационный номер заявки 1) в нарушение установленного в конкурсной документации порядка оценки заявок по детализирующему показателю «Общее количество исполненных участником закупки договоров» показателя «Наличие у участников закупки опыта работы, связанного с предметом контракта» нестоимостного критерия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5"/>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Комиссией Управления проводится проверка действий конкурсной комиссии Заказчика в части применения установленного в конкурсной документации порядка оценки заявок на участие в конкурсе.</w:t>
      </w:r>
    </w:p>
    <w:p>
      <w:pPr>
        <w:pStyle w:val="Style5"/>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Ч.1 ст.32 Закона о контрактной системе установлено, что для оценки заявок, окончательных предложений участников закупки Заказчик в документации о закупке устанавливает следующие критерии:</w:t>
      </w:r>
    </w:p>
    <w:p>
      <w:pPr>
        <w:pStyle w:val="Style5"/>
        <w:numPr>
          <w:ilvl w:val="0"/>
          <w:numId w:val="3"/>
        </w:numPr>
        <w:widowControl w:val="0"/>
        <w:keepNext w:val="0"/>
        <w:keepLines w:val="0"/>
        <w:shd w:val="clear" w:color="auto" w:fill="auto"/>
        <w:bidi w:val="0"/>
        <w:jc w:val="both"/>
        <w:spacing w:before="0" w:after="0" w:line="322" w:lineRule="exact"/>
        <w:ind w:left="0" w:right="0" w:firstLine="720"/>
      </w:pPr>
      <w:r>
        <w:rPr>
          <w:lang w:val="ru-RU" w:eastAsia="ru-RU" w:bidi="ru-RU"/>
          <w:w w:val="100"/>
          <w:spacing w:val="0"/>
          <w:color w:val="000000"/>
          <w:position w:val="0"/>
        </w:rPr>
        <w:t xml:space="preserve"> цена контракта;</w:t>
      </w:r>
    </w:p>
    <w:p>
      <w:pPr>
        <w:pStyle w:val="Style5"/>
        <w:numPr>
          <w:ilvl w:val="0"/>
          <w:numId w:val="3"/>
        </w:numPr>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 xml:space="preserve"> расходы на эксплуатацию и ремонт товаров, использование результатов работ;</w:t>
      </w:r>
    </w:p>
    <w:p>
      <w:pPr>
        <w:pStyle w:val="Style5"/>
        <w:numPr>
          <w:ilvl w:val="0"/>
          <w:numId w:val="3"/>
        </w:numPr>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 xml:space="preserve"> качественные, функциональные и экологические характеристики объекта закупки;</w:t>
      </w:r>
    </w:p>
    <w:p>
      <w:pPr>
        <w:pStyle w:val="Style5"/>
        <w:numPr>
          <w:ilvl w:val="0"/>
          <w:numId w:val="3"/>
        </w:numPr>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 xml:space="preserve">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5"/>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Согласно п.11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pPr>
        <w:pStyle w:val="Style5"/>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Согласно ч.8 ст.32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п.1 и 2 ч.1 ст.32 Закона о контрактной системе.</w:t>
      </w:r>
    </w:p>
    <w:p>
      <w:pPr>
        <w:pStyle w:val="Style5"/>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В соответствии с конкурсной документацией оценка заявок производится в соответствии с Положением об оценке заявок на участие в закупке товаров, работ, услуг для обеспечения государственных и муниципальных нужд, утвержденным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Положение).</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ч.4 ст.24 Закона о контрактной системе победителем конкурса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Законом о контрактной системе предусмотрена документация о закупке)</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соответствии с п.24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5"/>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а) наличие у участников закупки финансовых ресурсов;</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б) наличие у участников закупки на праве собственности или ином законном основании оборудования и других материальных ресурсов;</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наличие у участников закупки опыта поставки товара, выполнения работы, оказания услуги, связанного с предметом контракта;</w:t>
      </w:r>
    </w:p>
    <w:p>
      <w:pPr>
        <w:pStyle w:val="Style5"/>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г) наличие у участников закупки деловой репутации;</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д) наличие у участников закупки специалистов и иных работников определенного уровня квалификации.</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п.25 Положения для оценки заявок по показателям оценки, предусмотренным пунктом 24 Положения, применяются детализирующие показатели.</w:t>
      </w:r>
    </w:p>
    <w:p>
      <w:pPr>
        <w:pStyle w:val="Style5"/>
        <w:widowControl w:val="0"/>
        <w:keepNext w:val="0"/>
        <w:keepLines w:val="0"/>
        <w:shd w:val="clear" w:color="auto" w:fill="auto"/>
        <w:bidi w:val="0"/>
        <w:jc w:val="both"/>
        <w:spacing w:before="0" w:after="93" w:line="322" w:lineRule="exact"/>
        <w:ind w:left="20" w:right="20" w:firstLine="720"/>
      </w:pPr>
      <w:r>
        <w:rPr>
          <w:lang w:val="ru-RU" w:eastAsia="ru-RU" w:bidi="ru-RU"/>
          <w:w w:val="100"/>
          <w:spacing w:val="0"/>
          <w:color w:val="000000"/>
          <w:position w:val="0"/>
        </w:rPr>
        <w:t>Комиссией Управления определено, что согласно конкурсной документации Заказчиком установлен в том числе следующий порядок оценки заявок по детализирующему показателю «Общее количество исполненных участником закупки договоров»:</w:t>
      </w:r>
    </w:p>
    <w:p>
      <w:pPr>
        <w:pStyle w:val="Style15"/>
        <w:tabs>
          <w:tab w:leader="none" w:pos="3870" w:val="right"/>
        </w:tabs>
        <w:widowControl w:val="0"/>
        <w:keepNext w:val="0"/>
        <w:keepLines w:val="0"/>
        <w:shd w:val="clear" w:color="auto" w:fill="auto"/>
        <w:bidi w:val="0"/>
        <w:spacing w:before="0" w:after="0" w:line="280" w:lineRule="exact"/>
        <w:ind w:left="20" w:right="0" w:firstLine="720"/>
      </w:pPr>
      <w:r>
        <w:rPr>
          <w:rStyle w:val="CharStyle17"/>
          <w:i w:val="0"/>
          <w:iCs w:val="0"/>
        </w:rPr>
        <w:t xml:space="preserve">« </w:t>
      </w:r>
      <w:r>
        <w:rPr>
          <w:lang w:val="ru-RU" w:eastAsia="ru-RU" w:bidi="ru-RU"/>
          <w:vertAlign w:val="superscript"/>
          <w:w w:val="100"/>
          <w:spacing w:val="0"/>
          <w:color w:val="000000"/>
          <w:position w:val="0"/>
        </w:rPr>
        <w:t>БХ</w:t>
      </w:r>
      <w:r>
        <w:rPr>
          <w:rStyle w:val="CharStyle18"/>
          <w:i/>
          <w:iCs/>
        </w:rPr>
        <w:t>=</w:t>
      </w:r>
      <w:r>
        <w:rPr>
          <w:lang w:val="ru-RU" w:eastAsia="ru-RU" w:bidi="ru-RU"/>
          <w:w w:val="100"/>
          <w:spacing w:val="0"/>
          <w:color w:val="000000"/>
          <w:position w:val="0"/>
        </w:rPr>
        <w:t>( Х</w:t>
      </w:r>
      <w:r>
        <w:rPr>
          <w:rStyle w:val="CharStyle18"/>
          <w:i/>
          <w:iCs/>
        </w:rPr>
        <w:t>-</w:t>
      </w:r>
      <w:r>
        <w:rPr>
          <w:lang w:val="en-US" w:eastAsia="en-US" w:bidi="en-US"/>
          <w:vertAlign w:val="superscript"/>
          <w:w w:val="100"/>
          <w:spacing w:val="0"/>
          <w:color w:val="000000"/>
          <w:position w:val="0"/>
        </w:rPr>
        <w:t>x</w:t>
      </w:r>
      <w:r>
        <w:rPr>
          <w:lang w:val="en-US" w:eastAsia="en-US" w:bidi="en-US"/>
          <w:w w:val="100"/>
          <w:spacing w:val="0"/>
          <w:color w:val="000000"/>
          <w:position w:val="0"/>
        </w:rPr>
        <w:t>mn</w:t>
      </w:r>
      <w:r>
        <w:rPr>
          <w:rStyle w:val="CharStyle19"/>
          <w:lang w:val="en-US" w:eastAsia="en-US" w:bidi="en-US"/>
          <w:i w:val="0"/>
          <w:iCs w:val="0"/>
        </w:rPr>
        <w:t xml:space="preserve"> </w:t>
      </w:r>
      <w:r>
        <w:rPr>
          <w:rStyle w:val="CharStyle19"/>
          <w:i w:val="0"/>
          <w:iCs w:val="0"/>
        </w:rPr>
        <w:t>) *</w:t>
        <w:tab/>
      </w:r>
      <w:r>
        <w:rPr>
          <w:rStyle w:val="CharStyle17"/>
          <w:i w:val="0"/>
          <w:iCs w:val="0"/>
        </w:rPr>
        <w:t>,</w:t>
      </w:r>
    </w:p>
    <w:p>
      <w:pPr>
        <w:pStyle w:val="Style15"/>
        <w:widowControl w:val="0"/>
        <w:keepNext w:val="0"/>
        <w:keepLines w:val="0"/>
        <w:shd w:val="clear" w:color="auto" w:fill="auto"/>
        <w:bidi w:val="0"/>
        <w:jc w:val="left"/>
        <w:spacing w:before="0" w:after="237" w:line="280" w:lineRule="exact"/>
        <w:ind w:left="2720" w:right="0" w:firstLine="0"/>
      </w:pPr>
      <w:r>
        <w:rPr>
          <w:rStyle w:val="CharStyle19"/>
          <w:i w:val="0"/>
          <w:iCs w:val="0"/>
        </w:rPr>
        <w:t xml:space="preserve">^ </w:t>
      </w:r>
      <w:r>
        <w:rPr>
          <w:lang w:val="en-US" w:eastAsia="en-US" w:bidi="en-US"/>
          <w:w w:val="100"/>
          <w:spacing w:val="0"/>
          <w:color w:val="000000"/>
          <w:position w:val="0"/>
        </w:rPr>
        <w:t>max</w:t>
      </w:r>
      <w:r>
        <w:rPr>
          <w:lang w:val="ru-RU" w:eastAsia="ru-RU" w:bidi="ru-RU"/>
          <w:w w:val="100"/>
          <w:spacing w:val="0"/>
          <w:color w:val="000000"/>
          <w:position w:val="0"/>
        </w:rPr>
        <w:t xml:space="preserve">^ </w:t>
      </w:r>
      <w:r>
        <w:rPr>
          <w:lang w:val="en-US" w:eastAsia="en-US" w:bidi="en-US"/>
          <w:w w:val="100"/>
          <w:spacing w:val="0"/>
          <w:color w:val="000000"/>
          <w:position w:val="0"/>
        </w:rPr>
        <w:t>min</w:t>
      </w:r>
    </w:p>
    <w:p>
      <w:pPr>
        <w:pStyle w:val="Style5"/>
        <w:widowControl w:val="0"/>
        <w:keepNext w:val="0"/>
        <w:keepLines w:val="0"/>
        <w:shd w:val="clear" w:color="auto" w:fill="auto"/>
        <w:bidi w:val="0"/>
        <w:jc w:val="left"/>
        <w:spacing w:before="0" w:after="0" w:line="322" w:lineRule="exact"/>
        <w:ind w:left="20" w:right="0" w:firstLine="400"/>
      </w:pPr>
      <w:r>
        <w:rPr>
          <w:lang w:val="ru-RU" w:eastAsia="ru-RU" w:bidi="ru-RU"/>
          <w:w w:val="100"/>
          <w:spacing w:val="0"/>
          <w:color w:val="000000"/>
          <w:position w:val="0"/>
        </w:rPr>
        <w:t>где:</w:t>
      </w:r>
    </w:p>
    <w:p>
      <w:pPr>
        <w:pStyle w:val="Style5"/>
        <w:widowControl w:val="0"/>
        <w:keepNext w:val="0"/>
        <w:keepLines w:val="0"/>
        <w:shd w:val="clear" w:color="auto" w:fill="auto"/>
        <w:bidi w:val="0"/>
        <w:jc w:val="left"/>
        <w:spacing w:before="0" w:after="0" w:line="322" w:lineRule="exact"/>
        <w:ind w:left="20" w:right="20" w:firstLine="400"/>
      </w:pPr>
      <w:r>
        <w:rPr>
          <w:lang w:val="en-US" w:eastAsia="en-US" w:bidi="en-US"/>
          <w:w w:val="100"/>
          <w:spacing w:val="0"/>
          <w:color w:val="000000"/>
          <w:position w:val="0"/>
        </w:rPr>
        <w:t xml:space="preserve">Xi </w:t>
      </w:r>
      <w:r>
        <w:rPr>
          <w:lang w:val="ru-RU" w:eastAsia="ru-RU" w:bidi="ru-RU"/>
          <w:w w:val="100"/>
          <w:spacing w:val="0"/>
          <w:color w:val="000000"/>
          <w:position w:val="0"/>
        </w:rPr>
        <w:t>- значение показателя, содержащееся в предложении участника закупки, заявка (часть заявки) которого подлежит в соответствии с Федеральным законом от 05.04.2013 №44-ФЗ оценке по показателю;</w:t>
      </w:r>
    </w:p>
    <w:p>
      <w:pPr>
        <w:pStyle w:val="Style5"/>
        <w:widowControl w:val="0"/>
        <w:keepNext w:val="0"/>
        <w:keepLines w:val="0"/>
        <w:shd w:val="clear" w:color="auto" w:fill="auto"/>
        <w:bidi w:val="0"/>
        <w:jc w:val="left"/>
        <w:spacing w:before="0" w:after="0" w:line="322" w:lineRule="exact"/>
        <w:ind w:left="20" w:right="20" w:firstLine="400"/>
      </w:pPr>
      <w:r>
        <w:rPr>
          <w:lang w:val="en-US" w:eastAsia="en-US" w:bidi="en-US"/>
          <w:w w:val="100"/>
          <w:spacing w:val="0"/>
          <w:color w:val="000000"/>
          <w:position w:val="0"/>
        </w:rPr>
        <w:t xml:space="preserve">Xmin </w:t>
      </w:r>
      <w:r>
        <w:rPr>
          <w:lang w:val="ru-RU" w:eastAsia="ru-RU" w:bidi="ru-RU"/>
          <w:w w:val="100"/>
          <w:spacing w:val="0"/>
          <w:color w:val="000000"/>
          <w:position w:val="0"/>
        </w:rPr>
        <w:t>- минимальное значение показателя, содержащееся в заявках (частях заявок), подлежащих в соответствии с Федеральным законом от 05.04.2013 №44-ФЗ оценке по показателю;</w:t>
      </w:r>
    </w:p>
    <w:p>
      <w:pPr>
        <w:pStyle w:val="Style5"/>
        <w:widowControl w:val="0"/>
        <w:keepNext w:val="0"/>
        <w:keepLines w:val="0"/>
        <w:shd w:val="clear" w:color="auto" w:fill="auto"/>
        <w:bidi w:val="0"/>
        <w:jc w:val="left"/>
        <w:spacing w:before="0" w:after="0" w:line="322" w:lineRule="exact"/>
        <w:ind w:left="20" w:right="0" w:firstLine="400"/>
      </w:pPr>
      <w:r>
        <w:rPr>
          <w:rStyle w:val="CharStyle20"/>
        </w:rPr>
        <w:t>Х^ах</w:t>
      </w:r>
      <w:r>
        <w:rPr>
          <w:rStyle w:val="CharStyle21"/>
        </w:rPr>
        <w:t xml:space="preserve"> </w:t>
      </w:r>
      <w:r>
        <w:rPr>
          <w:lang w:val="ru-RU" w:eastAsia="ru-RU" w:bidi="ru-RU"/>
          <w:w w:val="100"/>
          <w:spacing w:val="0"/>
          <w:color w:val="000000"/>
          <w:position w:val="0"/>
        </w:rPr>
        <w:t>- предельное максимальное значение показателя, установленное заказчиком,</w:t>
      </w:r>
    </w:p>
    <w:p>
      <w:pPr>
        <w:pStyle w:val="Style22"/>
        <w:widowControl w:val="0"/>
        <w:keepNext w:val="0"/>
        <w:keepLines w:val="0"/>
        <w:shd w:val="clear" w:color="auto" w:fill="auto"/>
        <w:bidi w:val="0"/>
        <w:jc w:val="left"/>
        <w:spacing w:before="0" w:after="0"/>
        <w:ind w:left="20" w:right="0"/>
      </w:pPr>
      <w:r>
        <w:rPr>
          <w:rStyle w:val="CharStyle24"/>
          <w:b w:val="0"/>
          <w:bCs w:val="0"/>
        </w:rPr>
        <w:t>х</w:t>
      </w:r>
      <w:r>
        <w:rPr>
          <w:rStyle w:val="CharStyle25"/>
          <w:b w:val="0"/>
          <w:bCs w:val="0"/>
        </w:rPr>
        <w:t>тд</w:t>
      </w:r>
      <w:r>
        <w:rPr>
          <w:sz w:val="24"/>
          <w:szCs w:val="24"/>
          <w:w w:val="100"/>
          <w:color w:val="000000"/>
          <w:position w:val="0"/>
        </w:rPr>
        <w:t>=io</w:t>
      </w:r>
    </w:p>
    <w:p>
      <w:pPr>
        <w:pStyle w:val="Style5"/>
        <w:widowControl w:val="0"/>
        <w:keepNext w:val="0"/>
        <w:keepLines w:val="0"/>
        <w:shd w:val="clear" w:color="auto" w:fill="auto"/>
        <w:bidi w:val="0"/>
        <w:jc w:val="both"/>
        <w:spacing w:before="0" w:after="0" w:line="326" w:lineRule="exact"/>
        <w:ind w:left="20" w:right="20" w:firstLine="720"/>
      </w:pPr>
      <w:r>
        <w:rPr>
          <w:lang w:val="ru-RU" w:eastAsia="ru-RU" w:bidi="ru-RU"/>
          <w:w w:val="100"/>
          <w:spacing w:val="0"/>
          <w:color w:val="000000"/>
          <w:position w:val="0"/>
        </w:rPr>
        <w:t>Для детализирующего показателя установлено предельное максимальное значение показателя, установленное заказчиком, Х_тах</w:t>
      </w:r>
      <w:r>
        <w:rPr>
          <w:lang w:val="ru-RU" w:eastAsia="ru-RU" w:bidi="ru-RU"/>
          <w:vertAlign w:val="superscript"/>
          <w:w w:val="100"/>
          <w:spacing w:val="0"/>
          <w:color w:val="000000"/>
          <w:position w:val="0"/>
        </w:rPr>
        <w:t>А</w:t>
      </w:r>
      <w:r>
        <w:rPr>
          <w:lang w:val="ru-RU" w:eastAsia="ru-RU" w:bidi="ru-RU"/>
          <w:w w:val="100"/>
          <w:spacing w:val="0"/>
          <w:color w:val="000000"/>
          <w:position w:val="0"/>
        </w:rPr>
        <w:t>пред=10</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Если в предложении участника закупки содержится значение показателя, которое выше предельного значения, баллы по детализирующему показателю присваиваются в размере, предусмотренном для соответствующего предельного значения показателя.</w:t>
      </w:r>
    </w:p>
    <w:p>
      <w:pPr>
        <w:pStyle w:val="Style5"/>
        <w:numPr>
          <w:ilvl w:val="0"/>
          <w:numId w:val="5"/>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Установлено положение о принятии к оценке исключительно исполненного договора (договоров), предусматривающего выполнение работ на следующем объекте, соответствующем объекту закупки:</w:t>
      </w:r>
    </w:p>
    <w:p>
      <w:pPr>
        <w:pStyle w:val="Style26"/>
        <w:widowControl w:val="0"/>
        <w:keepNext w:val="0"/>
        <w:keepLines w:val="0"/>
        <w:shd w:val="clear" w:color="auto" w:fill="auto"/>
        <w:bidi w:val="0"/>
        <w:spacing w:before="0" w:after="0"/>
        <w:ind w:left="20" w:right="20"/>
      </w:pPr>
      <w:r>
        <w:rPr>
          <w:lang w:val="ru-RU" w:eastAsia="ru-RU" w:bidi="ru-RU"/>
          <w:w w:val="100"/>
          <w:spacing w:val="0"/>
          <w:color w:val="000000"/>
          <w:position w:val="0"/>
        </w:rPr>
        <w:t>выполнение работ или оказание услуг по разработке или корректировке проектной документации на выполнение работ по капитальному ремонту или строительству или реконструкции автомобильной дороги</w:t>
      </w:r>
    </w:p>
    <w:p>
      <w:pPr>
        <w:pStyle w:val="Style5"/>
        <w:numPr>
          <w:ilvl w:val="0"/>
          <w:numId w:val="5"/>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Установлено положение о принятии к оценке исключительно исполненного договора (договоров), относящегося к следующим договорам (контрактам):</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Контракт, заключенный в рамках Федерального закона «О контрактной системе в сфере закупок товаров, работ, услуг для обеспечения государственных и муниципальных нужд» от 05.04.2013 № 44-ФЗ, договор заключенный на основании Федерального закона от 18.07.2011 № 223-ФЗ "О закупках товаров, работ, услуг отдельными видами юридических лиц", предметом которого является выполнение работ или оказание услуг по разработке или корректировке проектной документации на выполнение работ по капитальному ремонту или строительству или реконструкции автомобильной дороги.</w:t>
      </w:r>
    </w:p>
    <w:p>
      <w:pPr>
        <w:pStyle w:val="Style5"/>
        <w:numPr>
          <w:ilvl w:val="0"/>
          <w:numId w:val="5"/>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Перечень документов, подтверждающих наличие у участника закупки опыта выполнения работ, связанного с предметом договора:</w:t>
      </w:r>
    </w:p>
    <w:p>
      <w:pPr>
        <w:pStyle w:val="Style5"/>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-копия исполненного контракта (договора);</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-копии документов, подтверждающих исполнение, а именно: копия акта (актов) о приемке заказчиком выполненных работ, содержащего (содержащих) все обязательные реквизиты, установленные частью 2 статьи 9 Федерального закона «О бухгалтерском учете», подписанного не ранее чем за последние пять лет до даты окончания подачи заявки на участие в конкурсе и подтверждающего (подтверждающих) стоимость исполненного контракта (договора), копия положительного заключения экспертизы либо сведения о номере и дате заключения экспертизы из Единого государственного реестра заключений экспертизы проектной документации объектов капитального строительства (в случае если такая экспертиза(ы) предусмотрена(ы) предоставляемым контрактом/договором).</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Представленные документы должны быть в виде неповторяющихся, полно читаемых копий, на которых четко видны необходимые подписи и печати.</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Непредставление в составе заявки на участие в конкурсе таких документов не является основанием отказа в допуске к участию в конкурсе, при этом участникам закупки следует принять к сведению, что оценке по настоящему показателю подлежат только те сведения, в отношении которых в составе заявки на участие в конкурсе представлены подтверждающие документы».</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заседании Комиссии Управления представитель Заявителя пояснил, что исходя из сведений, представленных в протоколе подведения итогов определения поставщика (подрядчика, исполнителя) от 22.06.2022 №ИЭОК1, заявке ООО «НИИ «Агропромстрой» по детализирующему показателю «Общее количество исполненных участником закупки договоров» был присвоен максимальный балл в размере 30 баллов, при этом в соответствии со сведениями из открытых источников ООО «НИИ «Агропромстрой» не имеет заключенных и исполненных договоров на выполнения работ или оказание услуг по разработке или корректировке проектной документации на выполнение работ по капитальному ремонту или строительству или реконструкции автомобильной дороги, согласно установленному порядку оценки, что, по мнению, представителя Заявителя, свидетельствует о неправомерности действий конкурсной комиссии Заказчика при рассмотрении и оценки заявки ООО «ЭМ-ЭМ-ТИ РУС».</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5"/>
        <w:tabs>
          <w:tab w:leader="none" w:pos="2366" w:val="left"/>
          <w:tab w:leader="none" w:pos="3187" w:val="left"/>
        </w:tabs>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Не согласившись с доводами жалобы, представитель Заказчика пояснил, что оценка заявок участников закупки проводилась комиссией Заказчика в полном соответствии с порядком оценки, установленным документацией о закупке, а также требованиями Положения. В составе заявки ООО «НИИ «Агропромстрой» представлены контракты/договора сопоставимого характера, так, например, контракт с реестровым номером №2640600038722000117 на оказание услуг по разработке проектно-сметной документации по объекту: «Капитальный ремонт си</w:t>
        <w:softHyphen/>
        <w:t>стемы кислородоснабжения и дополнительной установки концентратора кислорода производи-тельностью более 1000 литров в минуту в ГУЗ СО «Балашовская районная больница» по адресу: Саратовская область, г. Балашов, ул. Красина, 97А» на сумму 1</w:t>
        <w:tab/>
        <w:t>017</w:t>
        <w:tab/>
        <w:t>673,19 руб., контракт с реестровым номером</w:t>
      </w:r>
    </w:p>
    <w:p>
      <w:pPr>
        <w:pStyle w:val="Style5"/>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№2631585657221000020 на выполнение проектно-изыскательских работ по объекту: «Проектирование и строительство поликлиники, Волжский район, пгт Смышляевка» на сумму 9 571 206,00 руб., контракт с реестровым номером №1500802812722000395 на разработка проектно-сметной документации «Расчистка участка Волгоградского водохранилища в районе с. Верхнепогромное Среднеахтубинского района Волгоградской области» на сумму 2 525 978,03 руб. и т. д. Вышеуказанные контракты/договоры представлены Заказчиком в составе запрашиваемых Московским УФАС России документов.</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Доказательств несоответствия представленных в составе заявки ООО «ЭМ- ЭМ-ТИ РУС» сведений на заседание Комиссии Управления, а также в составе жалобы Заявителем не представлено.</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Таким образом, Комиссия Управления приходит к выводу, что данный довод Заявителя не нашел своего подтверждения и является необоснованным.</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13"/>
        <w:widowControl w:val="0"/>
        <w:keepNext/>
        <w:keepLines/>
        <w:shd w:val="clear" w:color="auto" w:fill="auto"/>
        <w:bidi w:val="0"/>
        <w:spacing w:before="0" w:after="303" w:line="260" w:lineRule="exact"/>
        <w:ind w:left="20" w:right="0" w:firstLine="0"/>
      </w:pPr>
      <w:bookmarkStart w:id="1" w:name="bookmark1"/>
      <w:r>
        <w:rPr>
          <w:lang w:val="ru-RU" w:eastAsia="ru-RU" w:bidi="ru-RU"/>
          <w:w w:val="100"/>
          <w:spacing w:val="0"/>
          <w:color w:val="000000"/>
          <w:position w:val="0"/>
        </w:rPr>
        <w:t>РЕШИЛА:</w:t>
      </w:r>
      <w:bookmarkEnd w:id="1"/>
    </w:p>
    <w:p>
      <w:pPr>
        <w:pStyle w:val="Style5"/>
        <w:numPr>
          <w:ilvl w:val="0"/>
          <w:numId w:val="7"/>
        </w:numPr>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 xml:space="preserve"> Признать жалобу ООО «ЭМ-ЭМ-ТИ РУС» на действия конкурсной комиссии ГНЦ РФ - ИМБП РАН необоснованной.</w:t>
      </w:r>
    </w:p>
    <w:p>
      <w:pPr>
        <w:pStyle w:val="Style5"/>
        <w:numPr>
          <w:ilvl w:val="0"/>
          <w:numId w:val="7"/>
        </w:numPr>
        <w:widowControl w:val="0"/>
        <w:keepNext w:val="0"/>
        <w:keepLines w:val="0"/>
        <w:shd w:val="clear" w:color="auto" w:fill="auto"/>
        <w:bidi w:val="0"/>
        <w:jc w:val="both"/>
        <w:spacing w:before="0" w:after="0" w:line="317" w:lineRule="exact"/>
        <w:ind w:left="0" w:right="20" w:firstLine="720"/>
      </w:pPr>
      <w:r>
        <w:rPr>
          <w:lang w:val="ru-RU" w:eastAsia="ru-RU" w:bidi="ru-RU"/>
          <w:w w:val="100"/>
          <w:spacing w:val="0"/>
          <w:color w:val="000000"/>
          <w:position w:val="0"/>
        </w:rPr>
        <w:t xml:space="preserve"> Жалобу ООО «ЭМ-ЭМ-ТИ РУС» в отношении результатов оценки заявок на участие в конкурсе оставить без рассмотрения в соответствии с ч.6 ст.106 Закона о контрактной системе.</w:t>
      </w:r>
    </w:p>
    <w:p>
      <w:pPr>
        <w:pStyle w:val="Style5"/>
        <w:numPr>
          <w:ilvl w:val="0"/>
          <w:numId w:val="7"/>
        </w:numPr>
        <w:widowControl w:val="0"/>
        <w:keepNext w:val="0"/>
        <w:keepLines w:val="0"/>
        <w:shd w:val="clear" w:color="auto" w:fill="auto"/>
        <w:bidi w:val="0"/>
        <w:jc w:val="both"/>
        <w:spacing w:before="0" w:after="300" w:line="322" w:lineRule="exact"/>
        <w:ind w:left="0" w:right="20" w:firstLine="720"/>
      </w:pPr>
      <w:r>
        <w:rPr>
          <w:lang w:val="ru-RU" w:eastAsia="ru-RU" w:bidi="ru-RU"/>
          <w:w w:val="100"/>
          <w:spacing w:val="0"/>
          <w:color w:val="000000"/>
          <w:position w:val="0"/>
        </w:rPr>
        <w:t xml:space="preserve"> Снять ограничения, наложенные на определение поставщика (подрядчика, исполнителя) письмом Московского УФАС России от 27.06.2022 № ЕШ34083/22.</w:t>
      </w:r>
    </w:p>
    <w:p>
      <w:pPr>
        <w:pStyle w:val="Style5"/>
        <w:widowControl w:val="0"/>
        <w:keepNext w:val="0"/>
        <w:keepLines w:val="0"/>
        <w:shd w:val="clear" w:color="auto" w:fill="auto"/>
        <w:bidi w:val="0"/>
        <w:jc w:val="both"/>
        <w:spacing w:before="0" w:after="43" w:line="322" w:lineRule="exact"/>
        <w:ind w:left="0" w:right="20" w:firstLine="72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8803" w:val="lef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Председательствующий</w:t>
        <w:tab/>
        <w:t>Н.А. Узкий</w:t>
      </w:r>
    </w:p>
    <w:p>
      <w:pPr>
        <w:pStyle w:val="Style5"/>
        <w:tabs>
          <w:tab w:leader="none" w:pos="8942" w:val="right"/>
          <w:tab w:leader="none" w:pos="10176"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Члены Комиссии:</w:t>
        <w:tab/>
        <w:t>А.З.</w:t>
        <w:tab/>
        <w:t>Касимова</w:t>
      </w:r>
    </w:p>
    <w:p>
      <w:pPr>
        <w:pStyle w:val="Style5"/>
        <w:widowControl w:val="0"/>
        <w:keepNext w:val="0"/>
        <w:keepLines w:val="0"/>
        <w:shd w:val="clear" w:color="auto" w:fill="auto"/>
        <w:bidi w:val="0"/>
        <w:jc w:val="right"/>
        <w:spacing w:before="0" w:after="7031" w:line="643" w:lineRule="exact"/>
        <w:ind w:left="0" w:right="20" w:firstLine="0"/>
      </w:pPr>
      <w:r>
        <w:rPr>
          <w:lang w:val="ru-RU" w:eastAsia="ru-RU" w:bidi="ru-RU"/>
          <w:w w:val="100"/>
          <w:spacing w:val="0"/>
          <w:color w:val="000000"/>
          <w:position w:val="0"/>
        </w:rPr>
        <w:t>Е.О. Сгибнев</w:t>
      </w:r>
    </w:p>
    <w:p>
      <w:pPr>
        <w:pStyle w:val="Style28"/>
        <w:widowControl w:val="0"/>
        <w:keepNext w:val="0"/>
        <w:keepLines w:val="0"/>
        <w:shd w:val="clear" w:color="auto" w:fill="auto"/>
        <w:bidi w:val="0"/>
        <w:spacing w:before="0" w:after="0" w:line="180" w:lineRule="exact"/>
        <w:ind w:left="0" w:right="0" w:firstLine="0"/>
      </w:pPr>
      <w:r>
        <w:rPr>
          <w:lang w:val="ru-RU" w:eastAsia="ru-RU" w:bidi="ru-RU"/>
          <w:w w:val="100"/>
          <w:spacing w:val="0"/>
          <w:color w:val="000000"/>
          <w:position w:val="0"/>
        </w:rPr>
        <w:t>Исп. Касимова А.З.</w:t>
      </w:r>
    </w:p>
    <w:sectPr>
      <w:headerReference w:type="default" r:id="rId9"/>
      <w:footerReference w:type="default" r:id="rId10"/>
      <w:footerReference w:type="first" r:id="rId11"/>
      <w:titlePg/>
      <w:footnotePr>
        <w:pos w:val="pageBottom"/>
        <w:numFmt w:val="decimal"/>
        <w:numRestart w:val="continuous"/>
      </w:footnotePr>
      <w:type w:val="continuous"/>
      <w:pgSz w:w="11909" w:h="16838"/>
      <w:pgMar w:top="1379" w:left="842" w:right="818" w:bottom="736"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3.9pt;margin-top:807.5pt;width:56.9pt;height:7.9pt;z-index:-188744063;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r>
                  <w:rPr>
                    <w:rStyle w:val="CharStyle9"/>
                  </w:rPr>
                  <w:t>2022-37523</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44.25pt;margin-top:811.55pt;width:56.4pt;height:7.9pt;z-index:-188744062;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r>
                  <w:rPr>
                    <w:rStyle w:val="CharStyle9"/>
                  </w:rPr>
                  <w:t>2022-37523</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8" type="#_x0000_t202" style="position:absolute;margin-left:295.9pt;margin-top:44.75pt;width:5.3pt;height:7.9pt;z-index:-188744064;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fldSimple w:instr=" PAGE \* MERGEFORMAT ">
                  <w:r>
                    <w:rPr>
                      <w:rStyle w:val="CharStyle9"/>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Колонтитул_"/>
    <w:basedOn w:val="DefaultParagraphFont"/>
    <w:link w:val="Style7"/>
    <w:rPr>
      <w:b w:val="0"/>
      <w:bCs w:val="0"/>
      <w:i w:val="0"/>
      <w:iCs w:val="0"/>
      <w:u w:val="none"/>
      <w:strike w:val="0"/>
      <w:smallCaps w:val="0"/>
      <w:sz w:val="22"/>
      <w:szCs w:val="22"/>
      <w:rFonts w:ascii="Times New Roman" w:eastAsia="Times New Roman" w:hAnsi="Times New Roman" w:cs="Times New Roman"/>
    </w:rPr>
  </w:style>
  <w:style w:type="character" w:customStyle="1" w:styleId="CharStyle9">
    <w:name w:val="Колонтитул"/>
    <w:basedOn w:val="CharStyle8"/>
    <w:rPr>
      <w:lang w:val="ru-RU" w:eastAsia="ru-RU" w:bidi="ru-RU"/>
      <w:w w:val="100"/>
      <w:spacing w:val="0"/>
      <w:color w:val="000000"/>
      <w:position w:val="0"/>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6"/>
    <w:rPr>
      <w:lang w:val="ru-RU" w:eastAsia="ru-RU" w:bidi="ru-RU"/>
      <w:u w:val="single"/>
      <w:w w:val="100"/>
      <w:spacing w:val="0"/>
      <w:color w:val="000000"/>
      <w:position w:val="0"/>
    </w:rPr>
  </w:style>
  <w:style w:type="character" w:customStyle="1" w:styleId="CharStyle14">
    <w:name w:val="Заголовок №1_"/>
    <w:basedOn w:val="DefaultParagraphFont"/>
    <w:link w:val="Style13"/>
    <w:rPr>
      <w:b/>
      <w:bCs/>
      <w:i w:val="0"/>
      <w:iCs w:val="0"/>
      <w:u w:val="none"/>
      <w:strike w:val="0"/>
      <w:smallCaps w:val="0"/>
      <w:sz w:val="26"/>
      <w:szCs w:val="26"/>
      <w:rFonts w:ascii="Times New Roman" w:eastAsia="Times New Roman" w:hAnsi="Times New Roman" w:cs="Times New Roman"/>
    </w:rPr>
  </w:style>
  <w:style w:type="character" w:customStyle="1" w:styleId="CharStyle16">
    <w:name w:val="Основной текст (3)_"/>
    <w:basedOn w:val="DefaultParagraphFont"/>
    <w:link w:val="Style15"/>
    <w:rPr>
      <w:b w:val="0"/>
      <w:bCs w:val="0"/>
      <w:i/>
      <w:iCs/>
      <w:u w:val="none"/>
      <w:strike w:val="0"/>
      <w:smallCaps w:val="0"/>
      <w:sz w:val="13"/>
      <w:szCs w:val="13"/>
      <w:rFonts w:ascii="Times New Roman" w:eastAsia="Times New Roman" w:hAnsi="Times New Roman" w:cs="Times New Roman"/>
    </w:rPr>
  </w:style>
  <w:style w:type="character" w:customStyle="1" w:styleId="CharStyle17">
    <w:name w:val="Основной текст (3) + 13 pt,Не курсив"/>
    <w:basedOn w:val="CharStyle16"/>
    <w:rPr>
      <w:lang w:val="ru-RU" w:eastAsia="ru-RU" w:bidi="ru-RU"/>
      <w:i/>
      <w:iCs/>
      <w:sz w:val="26"/>
      <w:szCs w:val="26"/>
      <w:w w:val="100"/>
      <w:spacing w:val="0"/>
      <w:color w:val="000000"/>
      <w:position w:val="0"/>
    </w:rPr>
  </w:style>
  <w:style w:type="character" w:customStyle="1" w:styleId="CharStyle18">
    <w:name w:val="Основной текст (3) + 10 pt"/>
    <w:basedOn w:val="CharStyle16"/>
    <w:rPr>
      <w:lang w:val="ru-RU" w:eastAsia="ru-RU" w:bidi="ru-RU"/>
      <w:sz w:val="20"/>
      <w:szCs w:val="20"/>
      <w:w w:val="100"/>
      <w:spacing w:val="0"/>
      <w:color w:val="000000"/>
      <w:position w:val="0"/>
    </w:rPr>
  </w:style>
  <w:style w:type="character" w:customStyle="1" w:styleId="CharStyle19">
    <w:name w:val="Основной текст (3) + 14 pt,Полужирный,Не курсив"/>
    <w:basedOn w:val="CharStyle16"/>
    <w:rPr>
      <w:lang w:val="ru-RU" w:eastAsia="ru-RU" w:bidi="ru-RU"/>
      <w:b/>
      <w:bCs/>
      <w:i/>
      <w:iCs/>
      <w:sz w:val="28"/>
      <w:szCs w:val="28"/>
      <w:w w:val="100"/>
      <w:spacing w:val="0"/>
      <w:color w:val="000000"/>
      <w:position w:val="0"/>
    </w:rPr>
  </w:style>
  <w:style w:type="character" w:customStyle="1" w:styleId="CharStyle20">
    <w:name w:val="Основной текст + 6,5 pt,Курсив"/>
    <w:basedOn w:val="CharStyle6"/>
    <w:rPr>
      <w:lang w:val="ru-RU" w:eastAsia="ru-RU" w:bidi="ru-RU"/>
      <w:i/>
      <w:iCs/>
      <w:sz w:val="13"/>
      <w:szCs w:val="13"/>
      <w:w w:val="100"/>
      <w:spacing w:val="0"/>
      <w:color w:val="000000"/>
      <w:position w:val="0"/>
    </w:rPr>
  </w:style>
  <w:style w:type="character" w:customStyle="1" w:styleId="CharStyle21">
    <w:name w:val="Основной текст + 14 pt,Полужирный"/>
    <w:basedOn w:val="CharStyle6"/>
    <w:rPr>
      <w:lang w:val="ru-RU" w:eastAsia="ru-RU" w:bidi="ru-RU"/>
      <w:b/>
      <w:bCs/>
      <w:sz w:val="28"/>
      <w:szCs w:val="28"/>
      <w:w w:val="100"/>
      <w:spacing w:val="0"/>
      <w:color w:val="000000"/>
      <w:position w:val="0"/>
    </w:rPr>
  </w:style>
  <w:style w:type="character" w:customStyle="1" w:styleId="CharStyle23">
    <w:name w:val="Основной текст (4)_"/>
    <w:basedOn w:val="DefaultParagraphFont"/>
    <w:link w:val="Style22"/>
    <w:rPr>
      <w:lang w:val="en-US" w:eastAsia="en-US" w:bidi="en-US"/>
      <w:b/>
      <w:bCs/>
      <w:i w:val="0"/>
      <w:iCs w:val="0"/>
      <w:u w:val="none"/>
      <w:strike w:val="0"/>
      <w:smallCaps w:val="0"/>
      <w:rFonts w:ascii="Times New Roman" w:eastAsia="Times New Roman" w:hAnsi="Times New Roman" w:cs="Times New Roman"/>
      <w:spacing w:val="30"/>
    </w:rPr>
  </w:style>
  <w:style w:type="character" w:customStyle="1" w:styleId="CharStyle24">
    <w:name w:val="Основной текст (4) + Calibri,17 pt,Не полужирный,Курсив,Интервал 0 pt"/>
    <w:basedOn w:val="CharStyle23"/>
    <w:rPr>
      <w:lang w:val="ru-RU" w:eastAsia="ru-RU" w:bidi="ru-RU"/>
      <w:b/>
      <w:bCs/>
      <w:i/>
      <w:iCs/>
      <w:sz w:val="34"/>
      <w:szCs w:val="34"/>
      <w:rFonts w:ascii="Calibri" w:eastAsia="Calibri" w:hAnsi="Calibri" w:cs="Calibri"/>
      <w:w w:val="100"/>
      <w:spacing w:val="0"/>
      <w:color w:val="000000"/>
      <w:position w:val="0"/>
    </w:rPr>
  </w:style>
  <w:style w:type="character" w:customStyle="1" w:styleId="CharStyle25">
    <w:name w:val="Основной текст (4) + 25 pt,Не полужирный,Курсив,Интервал -3 pt"/>
    <w:basedOn w:val="CharStyle23"/>
    <w:rPr>
      <w:lang w:val="ru-RU" w:eastAsia="ru-RU" w:bidi="ru-RU"/>
      <w:b/>
      <w:bCs/>
      <w:i/>
      <w:iCs/>
      <w:sz w:val="50"/>
      <w:szCs w:val="50"/>
      <w:w w:val="100"/>
      <w:spacing w:val="-70"/>
      <w:color w:val="000000"/>
      <w:position w:val="0"/>
    </w:rPr>
  </w:style>
  <w:style w:type="character" w:customStyle="1" w:styleId="CharStyle27">
    <w:name w:val="Основной текст (5)_"/>
    <w:basedOn w:val="DefaultParagraphFont"/>
    <w:link w:val="Style26"/>
    <w:rPr>
      <w:b w:val="0"/>
      <w:bCs w:val="0"/>
      <w:i/>
      <w:iCs/>
      <w:u w:val="none"/>
      <w:strike w:val="0"/>
      <w:smallCaps w:val="0"/>
      <w:sz w:val="26"/>
      <w:szCs w:val="26"/>
      <w:rFonts w:ascii="Times New Roman" w:eastAsia="Times New Roman" w:hAnsi="Times New Roman" w:cs="Times New Roman"/>
    </w:rPr>
  </w:style>
  <w:style w:type="character" w:customStyle="1" w:styleId="CharStyle29">
    <w:name w:val="Основной текст (6)_"/>
    <w:basedOn w:val="DefaultParagraphFont"/>
    <w:link w:val="Style28"/>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420" w:line="0" w:lineRule="exact"/>
      <w:ind w:hanging="4180"/>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Колонтитул"/>
    <w:basedOn w:val="Normal"/>
    <w:link w:val="CharStyle8"/>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spacing w:before="660" w:line="322" w:lineRule="exact"/>
      <w:ind w:firstLine="4360"/>
    </w:pPr>
    <w:rPr>
      <w:b/>
      <w:bCs/>
      <w:i w:val="0"/>
      <w:iCs w:val="0"/>
      <w:u w:val="none"/>
      <w:strike w:val="0"/>
      <w:smallCaps w:val="0"/>
      <w:sz w:val="26"/>
      <w:szCs w:val="26"/>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3)"/>
    <w:basedOn w:val="Normal"/>
    <w:link w:val="CharStyle16"/>
    <w:pPr>
      <w:widowControl w:val="0"/>
      <w:shd w:val="clear" w:color="auto" w:fill="FFFFFF"/>
      <w:jc w:val="both"/>
      <w:spacing w:before="60" w:after="60" w:line="0" w:lineRule="exact"/>
    </w:pPr>
    <w:rPr>
      <w:b w:val="0"/>
      <w:bCs w:val="0"/>
      <w:i/>
      <w:iCs/>
      <w:u w:val="none"/>
      <w:strike w:val="0"/>
      <w:smallCaps w:val="0"/>
      <w:sz w:val="13"/>
      <w:szCs w:val="13"/>
      <w:rFonts w:ascii="Times New Roman" w:eastAsia="Times New Roman" w:hAnsi="Times New Roman" w:cs="Times New Roman"/>
    </w:rPr>
  </w:style>
  <w:style w:type="paragraph" w:customStyle="1" w:styleId="Style22">
    <w:name w:val="Основной текст (4)"/>
    <w:basedOn w:val="Normal"/>
    <w:link w:val="CharStyle23"/>
    <w:pPr>
      <w:widowControl w:val="0"/>
      <w:shd w:val="clear" w:color="auto" w:fill="FFFFFF"/>
      <w:spacing w:line="326" w:lineRule="exact"/>
      <w:ind w:firstLine="400"/>
    </w:pPr>
    <w:rPr>
      <w:lang w:val="en-US" w:eastAsia="en-US" w:bidi="en-US"/>
      <w:b/>
      <w:bCs/>
      <w:i w:val="0"/>
      <w:iCs w:val="0"/>
      <w:u w:val="none"/>
      <w:strike w:val="0"/>
      <w:smallCaps w:val="0"/>
      <w:rFonts w:ascii="Times New Roman" w:eastAsia="Times New Roman" w:hAnsi="Times New Roman" w:cs="Times New Roman"/>
      <w:spacing w:val="30"/>
    </w:rPr>
  </w:style>
  <w:style w:type="paragraph" w:customStyle="1" w:styleId="Style26">
    <w:name w:val="Основной текст (5)"/>
    <w:basedOn w:val="Normal"/>
    <w:link w:val="CharStyle27"/>
    <w:pPr>
      <w:widowControl w:val="0"/>
      <w:shd w:val="clear" w:color="auto" w:fill="FFFFFF"/>
      <w:jc w:val="both"/>
      <w:spacing w:line="322" w:lineRule="exact"/>
      <w:ind w:firstLine="700"/>
    </w:pPr>
    <w:rPr>
      <w:b w:val="0"/>
      <w:bCs w:val="0"/>
      <w:i/>
      <w:iCs/>
      <w:u w:val="none"/>
      <w:strike w:val="0"/>
      <w:smallCaps w:val="0"/>
      <w:sz w:val="26"/>
      <w:szCs w:val="26"/>
      <w:rFonts w:ascii="Times New Roman" w:eastAsia="Times New Roman" w:hAnsi="Times New Roman" w:cs="Times New Roman"/>
    </w:rPr>
  </w:style>
  <w:style w:type="paragraph" w:customStyle="1" w:styleId="Style28">
    <w:name w:val="Основной текст (6)"/>
    <w:basedOn w:val="Normal"/>
    <w:link w:val="CharStyle29"/>
    <w:pPr>
      <w:widowControl w:val="0"/>
      <w:shd w:val="clear" w:color="auto" w:fill="FFFFFF"/>
      <w:jc w:val="both"/>
      <w:spacing w:before="666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footer" Target="footer2.xml"/></Relationships>
</file>