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307" w:line="260" w:lineRule="exact"/>
        <w:ind w:left="0" w:right="0" w:firstLine="0"/>
      </w:pPr>
      <w:r>
        <w:rPr>
          <w:lang w:val="ru-RU" w:eastAsia="ru-RU" w:bidi="ru-RU"/>
          <w:w w:val="100"/>
          <w:spacing w:val="0"/>
          <w:color w:val="000000"/>
          <w:position w:val="0"/>
        </w:rPr>
        <w:t>ФГБОУ ВО «МПГУ»</w:t>
      </w:r>
    </w:p>
    <w:p>
      <w:pPr>
        <w:pStyle w:val="Style20"/>
        <w:widowControl w:val="0"/>
        <w:keepNext w:val="0"/>
        <w:keepLines w:val="0"/>
        <w:shd w:val="clear" w:color="auto" w:fill="auto"/>
        <w:bidi w:val="0"/>
        <w:spacing w:before="0" w:after="346" w:line="317" w:lineRule="exact"/>
        <w:ind w:left="0" w:right="140" w:firstLine="0"/>
      </w:pPr>
      <w:r>
        <w:rPr>
          <w:lang w:val="ru-RU" w:eastAsia="ru-RU" w:bidi="ru-RU"/>
          <w:w w:val="100"/>
          <w:spacing w:val="0"/>
          <w:color w:val="000000"/>
          <w:position w:val="0"/>
        </w:rPr>
        <w:t>ул. Малая Пироговская, д. 1, стр. 1, г. Москва, 119991</w:t>
      </w:r>
    </w:p>
    <w:p>
      <w:pPr>
        <w:pStyle w:val="Style20"/>
        <w:widowControl w:val="0"/>
        <w:keepNext w:val="0"/>
        <w:keepLines w:val="0"/>
        <w:shd w:val="clear" w:color="auto" w:fill="auto"/>
        <w:bidi w:val="0"/>
        <w:spacing w:before="0" w:after="307" w:line="260" w:lineRule="exact"/>
        <w:ind w:left="0" w:right="0" w:firstLine="0"/>
      </w:pPr>
      <w:r>
        <w:rPr>
          <w:lang w:val="ru-RU" w:eastAsia="ru-RU" w:bidi="ru-RU"/>
          <w:w w:val="100"/>
          <w:spacing w:val="0"/>
          <w:color w:val="000000"/>
          <w:position w:val="0"/>
        </w:rPr>
        <w:t>ООО «МСЦ «Лидер»</w:t>
      </w:r>
    </w:p>
    <w:p>
      <w:pPr>
        <w:pStyle w:val="Style20"/>
        <w:widowControl w:val="0"/>
        <w:keepNext w:val="0"/>
        <w:keepLines w:val="0"/>
        <w:shd w:val="clear" w:color="auto" w:fill="auto"/>
        <w:bidi w:val="0"/>
        <w:spacing w:before="0" w:after="346" w:line="317" w:lineRule="exact"/>
        <w:ind w:left="0" w:right="140" w:firstLine="0"/>
      </w:pPr>
      <w:r>
        <w:rPr>
          <w:lang w:val="ru-RU" w:eastAsia="ru-RU" w:bidi="ru-RU"/>
          <w:w w:val="100"/>
          <w:spacing w:val="0"/>
          <w:color w:val="000000"/>
          <w:position w:val="0"/>
        </w:rPr>
        <w:t>пл. Сокольническая, д. 4А, пом. IV, ком. 11(и), г. Москва, 107113</w:t>
      </w:r>
    </w:p>
    <w:p>
      <w:pPr>
        <w:pStyle w:val="Style20"/>
        <w:widowControl w:val="0"/>
        <w:keepNext w:val="0"/>
        <w:keepLines w:val="0"/>
        <w:shd w:val="clear" w:color="auto" w:fill="auto"/>
        <w:bidi w:val="0"/>
        <w:spacing w:before="0" w:after="303" w:line="260" w:lineRule="exact"/>
        <w:ind w:left="0" w:right="0" w:firstLine="0"/>
      </w:pPr>
      <w:r>
        <w:rPr>
          <w:lang w:val="ru-RU" w:eastAsia="ru-RU" w:bidi="ru-RU"/>
          <w:w w:val="100"/>
          <w:spacing w:val="0"/>
          <w:color w:val="000000"/>
          <w:position w:val="0"/>
        </w:rPr>
        <w:t>АО «ТЭК-Торг»</w:t>
      </w:r>
    </w:p>
    <w:p>
      <w:pPr>
        <w:pStyle w:val="Style20"/>
        <w:widowControl w:val="0"/>
        <w:keepNext w:val="0"/>
        <w:keepLines w:val="0"/>
        <w:shd w:val="clear" w:color="auto" w:fill="auto"/>
        <w:bidi w:val="0"/>
        <w:spacing w:before="0" w:after="0" w:line="322" w:lineRule="exact"/>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4" w:left="885" w:right="1423" w:bottom="340" w:header="0" w:footer="3" w:gutter="0"/>
          <w:rtlGutter w:val="0"/>
          <w:cols w:num="2" w:space="931"/>
          <w:noEndnote/>
          <w:docGrid w:linePitch="360"/>
        </w:sectPr>
      </w:pPr>
      <w:r>
        <w:rPr>
          <w:lang w:val="ru-RU" w:eastAsia="ru-RU" w:bidi="ru-RU"/>
          <w:w w:val="100"/>
          <w:spacing w:val="0"/>
          <w:color w:val="000000"/>
          <w:position w:val="0"/>
        </w:rPr>
        <w:t>Гамсоновский пер., д. 5, стр. 2, эт. 5, пом. VII, г. Москва, 115191</w:t>
      </w:r>
    </w:p>
    <w:p>
      <w:pPr>
        <w:widowControl w:val="0"/>
        <w:spacing w:line="240" w:lineRule="exact"/>
        <w:rPr>
          <w:sz w:val="19"/>
          <w:szCs w:val="19"/>
        </w:rPr>
      </w:pPr>
    </w:p>
    <w:p>
      <w:pPr>
        <w:widowControl w:val="0"/>
        <w:spacing w:line="240" w:lineRule="exact"/>
        <w:rPr>
          <w:sz w:val="19"/>
          <w:szCs w:val="19"/>
        </w:rPr>
      </w:pPr>
    </w:p>
    <w:p>
      <w:pPr>
        <w:widowControl w:val="0"/>
        <w:spacing w:before="77" w:after="7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8435" w:val="left"/>
        </w:tabs>
        <w:widowControl w:val="0"/>
        <w:keepNext w:val="0"/>
        <w:keepLines w:val="0"/>
        <w:shd w:val="clear" w:color="auto" w:fill="auto"/>
        <w:bidi w:val="0"/>
        <w:jc w:val="left"/>
        <w:spacing w:before="0" w:after="0"/>
        <w:ind w:left="40" w:right="600"/>
      </w:pPr>
      <w:r>
        <w:rPr>
          <w:lang w:val="ru-RU" w:eastAsia="ru-RU" w:bidi="ru-RU"/>
          <w:w w:val="100"/>
          <w:spacing w:val="0"/>
          <w:color w:val="000000"/>
          <w:position w:val="0"/>
        </w:rPr>
        <w:t>РЕШЕНИЕ по делу №077/06/106-10877/2022 о нарушении законодательства о контрактной системе 21.07.2022</w:t>
        <w:tab/>
        <w:t>г. Москва</w:t>
      </w:r>
    </w:p>
    <w:p>
      <w:pPr>
        <w:pStyle w:val="Style20"/>
        <w:tabs>
          <w:tab w:leader="none" w:pos="587" w:val="left"/>
        </w:tabs>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w:t>
        <w:tab/>
        <w:t>г. Москве по контролю в сфере закупок товаров, работ, услуг</w:t>
      </w:r>
    </w:p>
    <w:p>
      <w:pPr>
        <w:pStyle w:val="Style20"/>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(далее - Комиссия Управления) в составе:</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Д.С. Грешневой,</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20"/>
        <w:tabs>
          <w:tab w:leader="none" w:pos="662"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Э.З.</w:t>
        <w:tab/>
        <w:t>Гугава,</w:t>
      </w:r>
    </w:p>
    <w:p>
      <w:pPr>
        <w:pStyle w:val="Style20"/>
        <w:tabs>
          <w:tab w:leader="none" w:pos="587" w:val="left"/>
        </w:tabs>
        <w:widowControl w:val="0"/>
        <w:keepNext w:val="0"/>
        <w:keepLines w:val="0"/>
        <w:shd w:val="clear" w:color="auto" w:fill="auto"/>
        <w:bidi w:val="0"/>
        <w:spacing w:before="0" w:after="0" w:line="322" w:lineRule="exact"/>
        <w:ind w:left="40" w:right="20" w:firstLine="70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20"/>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spacing w:before="0" w:after="0" w:line="322" w:lineRule="exact"/>
        <w:ind w:left="40" w:right="0" w:firstLine="700"/>
      </w:pPr>
      <w:r>
        <w:rPr>
          <w:lang w:val="ru-RU" w:eastAsia="ru-RU" w:bidi="ru-RU"/>
          <w:w w:val="100"/>
          <w:spacing w:val="0"/>
          <w:color w:val="000000"/>
          <w:position w:val="0"/>
        </w:rPr>
        <w:t>при участии представителей:</w:t>
      </w:r>
    </w:p>
    <w:p>
      <w:pPr>
        <w:pStyle w:val="Style20"/>
        <w:widowControl w:val="0"/>
        <w:keepNext w:val="0"/>
        <w:keepLines w:val="0"/>
        <w:shd w:val="clear" w:color="auto" w:fill="auto"/>
        <w:bidi w:val="0"/>
        <w:jc w:val="left"/>
        <w:spacing w:before="0" w:after="0" w:line="322" w:lineRule="exact"/>
        <w:ind w:left="40" w:right="20" w:firstLine="700"/>
      </w:pPr>
      <w:r>
        <w:rPr>
          <w:lang w:val="ru-RU" w:eastAsia="ru-RU" w:bidi="ru-RU"/>
          <w:w w:val="100"/>
          <w:spacing w:val="0"/>
          <w:color w:val="000000"/>
          <w:position w:val="0"/>
        </w:rPr>
        <w:t>ООО «МСЦ «Лидер»:Павличева Ю.А. (дов.№ 05-22/Л от 23.06.2022), Пронина Д.Ю.(дов. №04-22/Л от 23.06.2022), Севрюкова Ю.В. (дов.№03-22/Л от 24.05.2022), ФГБОУ ВО «МПГУ»: Дьячковой Ю.В. (дов.№99 от 18.12.2021), Самохина А.О. (дов.№ 88 от 27.12.2021),</w:t>
      </w:r>
    </w:p>
    <w:p>
      <w:pPr>
        <w:pStyle w:val="Style22"/>
        <w:framePr w:w="1685" w:h="394" w:wrap="around" w:vAnchor="text" w:hAnchor="margin" w:x="385" w:y="111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000165087043</w:t>
      </w:r>
    </w:p>
    <w:p>
      <w:pPr>
        <w:pStyle w:val="Style20"/>
        <w:widowControl w:val="0"/>
        <w:keepNext w:val="0"/>
        <w:keepLines w:val="0"/>
        <w:shd w:val="clear" w:color="auto" w:fill="auto"/>
        <w:bidi w:val="0"/>
        <w:spacing w:before="0" w:after="116" w:line="322" w:lineRule="exact"/>
        <w:ind w:left="40" w:right="20" w:firstLine="700"/>
      </w:pPr>
      <w:r>
        <w:rPr>
          <w:lang w:val="ru-RU" w:eastAsia="ru-RU" w:bidi="ru-RU"/>
          <w:w w:val="100"/>
          <w:spacing w:val="0"/>
          <w:color w:val="000000"/>
          <w:position w:val="0"/>
        </w:rPr>
        <w:t>рассмотрев жалобу ООО «МСЦ «Лидер» на действия ФГБОУ ВО «МПГУ» (далее — Заказчик) при проведении электронного аукциона на право заключения государственного контракта на оказание услуг по организации летнего</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59" w:left="818" w:right="847" w:bottom="325" w:header="0" w:footer="3" w:gutter="0"/>
          <w:rtlGutter w:val="0"/>
          <w:cols w:space="720"/>
          <w:noEndnote/>
          <w:docGrid w:linePitch="360"/>
        </w:sectPr>
      </w:pPr>
    </w:p>
    <w:p>
      <w:pPr>
        <w:pStyle w:val="Style20"/>
        <w:widowControl w:val="0"/>
        <w:keepNext w:val="0"/>
        <w:keepLines w:val="0"/>
        <w:shd w:val="clear" w:color="auto" w:fill="auto"/>
        <w:bidi w:val="0"/>
        <w:spacing w:before="0" w:after="349" w:line="322" w:lineRule="exact"/>
        <w:ind w:left="40" w:right="20" w:firstLine="0"/>
      </w:pPr>
      <w:r>
        <w:rPr>
          <w:lang w:val="ru-RU" w:eastAsia="ru-RU" w:bidi="ru-RU"/>
          <w:w w:val="100"/>
          <w:spacing w:val="0"/>
          <w:color w:val="000000"/>
          <w:position w:val="0"/>
        </w:rPr>
        <w:t>студенческого лагеря спортивно-оздоровительной, физкультурной и культурно</w:t>
        <w:softHyphen/>
        <w:t>образовательной направленности для обучающихся (студентов) старше 18 лет очной формы обучения федерального государственного бюджетного образовательного учреждения высшего образования «Московский педагогический государственный университет» (МПГУ) летом 2022 года (Закупка № 0373100116222000015)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6"/>
        <w:widowControl w:val="0"/>
        <w:keepNext/>
        <w:keepLines/>
        <w:shd w:val="clear" w:color="auto" w:fill="auto"/>
        <w:bidi w:val="0"/>
        <w:jc w:val="left"/>
        <w:spacing w:before="0" w:after="303"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 Московское УФАС России поступила жалоба Заявителя на действия аукционной комиссии Заказчика при проведении вышеуказанного электронного аукциона.</w:t>
      </w:r>
    </w:p>
    <w:p>
      <w:pPr>
        <w:pStyle w:val="Style20"/>
        <w:tabs>
          <w:tab w:leader="none" w:pos="2190" w:val="left"/>
        </w:tabs>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w:t>
        <w:tab/>
        <w:t>запрашиваемые письмом Московского УФАС России</w:t>
      </w:r>
    </w:p>
    <w:p>
      <w:pPr>
        <w:pStyle w:val="Style20"/>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(от 18.07.2022 №НП/37445/22), Комиссия Управления установила следующее.</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По мнению Заявителя, аукционной комиссией Заказчика нарушены нормы Закона о контрактной системе в результате признания заявки Заявителя не соответствующей требованиям Закона о контрактной системе.</w:t>
      </w:r>
    </w:p>
    <w:p>
      <w:pPr>
        <w:pStyle w:val="Style20"/>
        <w:tabs>
          <w:tab w:leader="none" w:pos="2190" w:val="left"/>
        </w:tabs>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Согласно</w:t>
        <w:tab/>
        <w:t>протоколу подведения итогов определения поставщика</w:t>
      </w:r>
    </w:p>
    <w:p>
      <w:pPr>
        <w:pStyle w:val="Style20"/>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 xml:space="preserve">(подрядчика, исполнителя) от 11.07.2022 №ИЭА2 заявка ООО «МСЦ «Лидер», с идентификационным номером 3, признана не соответствующей требованиям извещения и Закона о контрактной системе на следующем основании: </w:t>
      </w:r>
      <w:r>
        <w:rPr>
          <w:rStyle w:val="CharStyle28"/>
        </w:rPr>
        <w:t>«п. 8 ч. 12 ст. 48 44-ФЗ - выявления недостоверной информации, содержащейся в заявке на участие в закупке</w:t>
      </w:r>
    </w:p>
    <w:p>
      <w:pPr>
        <w:pStyle w:val="Style29"/>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Не соответствует требованиям на основании п. 8 ч. 12 ст. 48 Закона о контрактной системе, поскольку:</w:t>
      </w:r>
    </w:p>
    <w:p>
      <w:pPr>
        <w:pStyle w:val="Style29"/>
        <w:numPr>
          <w:ilvl w:val="0"/>
          <w:numId w:val="1"/>
        </w:numPr>
        <w:tabs>
          <w:tab w:leader="none" w:pos="1030" w:val="left"/>
        </w:tabs>
        <w:widowControl w:val="0"/>
        <w:keepNext w:val="0"/>
        <w:keepLines w:val="0"/>
        <w:shd w:val="clear" w:color="auto" w:fill="auto"/>
        <w:bidi w:val="0"/>
        <w:spacing w:before="0" w:after="0"/>
        <w:ind w:left="40" w:right="20" w:firstLine="680"/>
      </w:pPr>
      <w:r>
        <w:rPr>
          <w:lang w:val="ru-RU" w:eastAsia="ru-RU" w:bidi="ru-RU"/>
          <w:w w:val="100"/>
          <w:spacing w:val="0"/>
          <w:color w:val="000000"/>
          <w:position w:val="0"/>
        </w:rPr>
        <w:t>В составе заявки УРЗ №3 предложено место оказания услуг - филиал АО «Крымтур» ТОСК «Приморье» (ИНН 9102035143) с указанием недостоверного адреса: «Российская Федерация, Восточное побережье Крыма, городской округ Феодосия., пгт Коктебель. ул. Ленина 24», в то время как настоящий адрес туристического комплекса: пгт Коктебель. ул. Ленина дом 124», на основании выписки из ЕГРН. То есть, по указанному заявителем жалобы адресу места организации летнего лагеря в доме № 24 отсутствует филиал АО «Крымтур»</w:t>
      </w:r>
    </w:p>
    <w:p>
      <w:pPr>
        <w:pStyle w:val="Style2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ТОСК «Приморье», он расположен в доме № 124.</w:t>
      </w:r>
    </w:p>
    <w:p>
      <w:pPr>
        <w:pStyle w:val="Style29"/>
        <w:numPr>
          <w:ilvl w:val="0"/>
          <w:numId w:val="1"/>
        </w:numPr>
        <w:tabs>
          <w:tab w:leader="none" w:pos="1014" w:val="left"/>
        </w:tabs>
        <w:widowControl w:val="0"/>
        <w:keepNext w:val="0"/>
        <w:keepLines w:val="0"/>
        <w:shd w:val="clear" w:color="auto" w:fill="auto"/>
        <w:bidi w:val="0"/>
        <w:spacing w:before="0" w:after="0"/>
        <w:ind w:left="20" w:right="40" w:firstLine="660"/>
      </w:pPr>
      <w:r>
        <w:rPr>
          <w:lang w:val="ru-RU" w:eastAsia="ru-RU" w:bidi="ru-RU"/>
          <w:w w:val="100"/>
          <w:spacing w:val="0"/>
          <w:color w:val="000000"/>
          <w:position w:val="0"/>
        </w:rPr>
        <w:t>В составе заявке УРЗ №3 предложен бассейн, который не соответствует требованиям Заказчика. То есть, не соответствует требованию СП 310.1325800.2017, а именно: общая площадь предлагаемого бассейна, на основании выписки Единого государственного реестра недвижимости об объекте недвижимости, кадастровый номер: 90:24:030102:4191, имеет общую площадь: 295 кв.м., что не соответствует требованию технического задания, а именно бассейн капитальной постройки, с размерами не менее 25х12,5м., должен иметь площадь не менее 312,5 кв.м.</w:t>
      </w:r>
    </w:p>
    <w:p>
      <w:pPr>
        <w:pStyle w:val="Style29"/>
        <w:tabs>
          <w:tab w:leader="none" w:pos="5497" w:val="right"/>
          <w:tab w:leader="none" w:pos="5871" w:val="left"/>
        </w:tabs>
        <w:widowControl w:val="0"/>
        <w:keepNext w:val="0"/>
        <w:keepLines w:val="0"/>
        <w:shd w:val="clear" w:color="auto" w:fill="auto"/>
        <w:bidi w:val="0"/>
        <w:spacing w:before="0" w:after="0"/>
        <w:ind w:left="20" w:right="40" w:firstLine="660"/>
      </w:pPr>
      <w:r>
        <w:rPr>
          <w:lang w:val="ru-RU" w:eastAsia="ru-RU" w:bidi="ru-RU"/>
          <w:w w:val="100"/>
          <w:spacing w:val="0"/>
          <w:color w:val="000000"/>
          <w:position w:val="0"/>
        </w:rPr>
        <w:t xml:space="preserve">Пояснения: Заказчиком неоднократно были сделаны запросы в предлагаемый объект размещения со следующим вопросом: наличие стационарного открытого бассейна капитальной постройки, размерами </w:t>
      </w:r>
      <w:r>
        <w:rPr>
          <w:lang w:val="en-US" w:eastAsia="en-US" w:bidi="en-US"/>
          <w:w w:val="100"/>
          <w:spacing w:val="0"/>
          <w:color w:val="000000"/>
          <w:position w:val="0"/>
        </w:rPr>
        <w:t xml:space="preserve">25x12,5 </w:t>
      </w:r>
      <w:r>
        <w:rPr>
          <w:lang w:val="ru-RU" w:eastAsia="ru-RU" w:bidi="ru-RU"/>
          <w:w w:val="100"/>
          <w:spacing w:val="0"/>
          <w:color w:val="000000"/>
          <w:position w:val="0"/>
        </w:rPr>
        <w:t>м., с количеством дорожек не менее 6-ти, с системой фильтрации воды, оборудованной вокруг зоной отдыха (шезлонги, столики) и душевыми с горячей и холодной водой. Ответа не последовало. На этом основании, т.к. бассейн является объектом капитального строительства, Заказчиком был сделан запрос по получению выписки из ФГИС Единого государственного реестра недвижимости об объекте недвижимости. Кадастровый номер:</w:t>
        <w:tab/>
        <w:t>90:24:030102:4191,</w:t>
        <w:tab/>
        <w:t>номер кадастрового квартала:</w:t>
      </w:r>
    </w:p>
    <w:p>
      <w:pPr>
        <w:pStyle w:val="Style29"/>
        <w:widowControl w:val="0"/>
        <w:keepNext w:val="0"/>
        <w:keepLines w:val="0"/>
        <w:shd w:val="clear" w:color="auto" w:fill="auto"/>
        <w:bidi w:val="0"/>
        <w:spacing w:before="0" w:after="0"/>
        <w:ind w:left="20" w:right="40" w:firstLine="0"/>
      </w:pPr>
      <w:r>
        <w:rPr>
          <w:lang w:val="ru-RU" w:eastAsia="ru-RU" w:bidi="ru-RU"/>
          <w:w w:val="100"/>
          <w:spacing w:val="0"/>
          <w:color w:val="000000"/>
          <w:position w:val="0"/>
        </w:rPr>
        <w:t>90:24:030101, ранее присвоенный государственный учетный номер: инвентарный номер: 6-544, наименование: Бассейн большой. Площадь: 295 кв.м. Также представлена: Схема расположения объекта недвижимости (части объекта недвижимости) на земельном участке (раздел 5).</w:t>
      </w:r>
    </w:p>
    <w:p>
      <w:pPr>
        <w:pStyle w:val="Style29"/>
        <w:widowControl w:val="0"/>
        <w:keepNext w:val="0"/>
        <w:keepLines w:val="0"/>
        <w:shd w:val="clear" w:color="auto" w:fill="auto"/>
        <w:bidi w:val="0"/>
        <w:spacing w:before="0" w:after="0"/>
        <w:ind w:left="20" w:right="40" w:firstLine="660"/>
      </w:pPr>
      <w:r>
        <w:rPr>
          <w:lang w:val="ru-RU" w:eastAsia="ru-RU" w:bidi="ru-RU"/>
          <w:w w:val="100"/>
          <w:spacing w:val="0"/>
          <w:color w:val="000000"/>
          <w:position w:val="0"/>
        </w:rPr>
        <w:t xml:space="preserve">Поскольку, на основании Схемы расположения объекта недвижимости (части объекта недвижимости) на земельном участке ясно, что объект неправильной формы. Можно предположить, что участник выдает размеры по ширине и длине по диагоналям (максимальные величины). Но в соответствии с требованиями Технического задания: наличие стационарного открытого бассейна капитальной постройки не менее 25x12,5м., с количеством дорожек не менее 6- ти. Путем формирования эскиза со сторонами: А - 25м, </w:t>
      </w:r>
      <w:r>
        <w:rPr>
          <w:lang w:val="en-US" w:eastAsia="en-US" w:bidi="en-US"/>
          <w:w w:val="100"/>
          <w:spacing w:val="0"/>
          <w:color w:val="000000"/>
          <w:position w:val="0"/>
        </w:rPr>
        <w:t xml:space="preserve">B </w:t>
      </w:r>
      <w:r>
        <w:rPr>
          <w:lang w:val="ru-RU" w:eastAsia="ru-RU" w:bidi="ru-RU"/>
          <w:w w:val="100"/>
          <w:spacing w:val="0"/>
          <w:color w:val="000000"/>
          <w:position w:val="0"/>
        </w:rPr>
        <w:t>- 12,5м, а также на основании СП 310.1325800.2017 БАССЕЙНЫ ДЛЯ ПЛАВАНИЯ.</w:t>
      </w:r>
    </w:p>
    <w:p>
      <w:pPr>
        <w:pStyle w:val="Style29"/>
        <w:widowControl w:val="0"/>
        <w:keepNext w:val="0"/>
        <w:keepLines w:val="0"/>
        <w:shd w:val="clear" w:color="auto" w:fill="auto"/>
        <w:bidi w:val="0"/>
        <w:spacing w:before="0" w:after="0"/>
        <w:ind w:left="20" w:right="40" w:firstLine="660"/>
      </w:pPr>
      <w:r>
        <w:rPr>
          <w:lang w:val="ru-RU" w:eastAsia="ru-RU" w:bidi="ru-RU"/>
          <w:w w:val="100"/>
          <w:spacing w:val="0"/>
          <w:color w:val="000000"/>
          <w:position w:val="0"/>
        </w:rPr>
        <w:t xml:space="preserve">В соответствие с п. 5.5 Правила проектирования, в ваннах бассейнов длиной 16 и 25 м следует предусматривать разделение водной поверхности на дорожки. Ширину дорожки следует принимать равной 2 м. За крайними дорожками до стенок ванны предусматриваются свободные полосы воды шириной 0,5 м. Получается прямоугольник, со сторонами 25 м. на 12,5 м. с 6 плавательными дорожками. Общей площадью: </w:t>
      </w:r>
      <w:r>
        <w:rPr>
          <w:lang w:val="en-US" w:eastAsia="en-US" w:bidi="en-US"/>
          <w:w w:val="100"/>
          <w:spacing w:val="0"/>
          <w:color w:val="000000"/>
          <w:position w:val="0"/>
        </w:rPr>
        <w:t xml:space="preserve">S </w:t>
      </w:r>
      <w:r>
        <w:rPr>
          <w:lang w:val="ru-RU" w:eastAsia="ru-RU" w:bidi="ru-RU"/>
          <w:w w:val="100"/>
          <w:spacing w:val="0"/>
          <w:color w:val="000000"/>
          <w:position w:val="0"/>
        </w:rPr>
        <w:t xml:space="preserve">= </w:t>
      </w:r>
      <w:r>
        <w:rPr>
          <w:lang w:val="en-US" w:eastAsia="en-US" w:bidi="en-US"/>
          <w:w w:val="100"/>
          <w:spacing w:val="0"/>
          <w:color w:val="000000"/>
          <w:position w:val="0"/>
        </w:rPr>
        <w:t xml:space="preserve">A x B </w:t>
      </w:r>
      <w:r>
        <w:rPr>
          <w:lang w:val="ru-RU" w:eastAsia="ru-RU" w:bidi="ru-RU"/>
          <w:w w:val="100"/>
          <w:spacing w:val="0"/>
          <w:color w:val="000000"/>
          <w:position w:val="0"/>
        </w:rPr>
        <w:t>= 312,5 кв.м.</w:t>
      </w:r>
    </w:p>
    <w:p>
      <w:pPr>
        <w:pStyle w:val="Style29"/>
        <w:widowControl w:val="0"/>
        <w:keepNext w:val="0"/>
        <w:keepLines w:val="0"/>
        <w:shd w:val="clear" w:color="auto" w:fill="auto"/>
        <w:bidi w:val="0"/>
        <w:spacing w:before="0" w:after="0"/>
        <w:ind w:left="20" w:right="40" w:firstLine="660"/>
      </w:pPr>
      <w:r>
        <w:rPr>
          <w:lang w:val="ru-RU" w:eastAsia="ru-RU" w:bidi="ru-RU"/>
          <w:w w:val="100"/>
          <w:spacing w:val="0"/>
          <w:color w:val="000000"/>
          <w:position w:val="0"/>
        </w:rPr>
        <w:t>Взяв за основу, схему расположения объекта недвижимости (части объекта недвижимости) на земельном участке, с учетом максимальных величин в виде диагоналей и сделав наложение полученного эскиза на Схему, становится ясно, что предлагаемый бассейн полностью не соответствует требованию Технического задания, т.к. при любом расположения Схемы и эскиза относительно «сторон света» расположить в предлагаемом бассейне плавательные дорожки, согласно Своду правил СП 310.1325800.2017 не представляется возможным. Ни одна дорожка не будет иметь равномерную ширину дорожки (2 м.) и длину дорожки (25 м.) по всему зеркалу бассейна. Таким образом, данный бассейн не соответствует нормам, установленным в Техническом задании заказчиком.</w:t>
      </w:r>
    </w:p>
    <w:p>
      <w:pPr>
        <w:pStyle w:val="Style29"/>
        <w:numPr>
          <w:ilvl w:val="0"/>
          <w:numId w:val="1"/>
        </w:numPr>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 xml:space="preserve"> В соответствии с Техническим заданием заказчиком установлено требование о наличии современной оборудованной площадки или диско-клуба, для проведения концертов, дискотек и просмотра кинофильмов, вместимостью не менее 150 человек, однако в составе заявки УРЗ №3 указал недостоверные сведения: наличие современной оборудованной площадки или диско-клуба, для проведения концертов, дискотек и просмотра кинофильмов, вместимостью не менее 150 человек. То есть, данные, указанные в заявке, не соответствуют действительности, на предлагаемом объекте подобное место - отсутствует.</w:t>
      </w:r>
    </w:p>
    <w:p>
      <w:pPr>
        <w:pStyle w:val="Style29"/>
        <w:numPr>
          <w:ilvl w:val="0"/>
          <w:numId w:val="1"/>
        </w:numPr>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 xml:space="preserve"> В соответствии с Техническим заданием заказчиком установлено требование: Во время организации студенческого лагеря проживание других отдыхающих на территории объекта размещения не допускается.</w:t>
      </w:r>
    </w:p>
    <w:p>
      <w:pPr>
        <w:pStyle w:val="Style29"/>
        <w:widowControl w:val="0"/>
        <w:keepNext w:val="0"/>
        <w:keepLines w:val="0"/>
        <w:shd w:val="clear" w:color="auto" w:fill="auto"/>
        <w:bidi w:val="0"/>
        <w:spacing w:before="0" w:after="0"/>
        <w:ind w:left="20" w:right="40" w:firstLine="680"/>
      </w:pPr>
      <w:r>
        <w:rPr>
          <w:lang w:val="ru-RU" w:eastAsia="ru-RU" w:bidi="ru-RU"/>
          <w:w w:val="100"/>
          <w:spacing w:val="0"/>
          <w:color w:val="000000"/>
          <w:position w:val="0"/>
        </w:rPr>
        <w:t>По имеющийся у Заказчика информации, в предлагаемом месте размещения будут размещены иные отдыхающие, что не соответствует требованию документации</w:t>
      </w:r>
      <w:r>
        <w:rPr>
          <w:rStyle w:val="CharStyle31"/>
          <w:i w:val="0"/>
          <w:iCs w:val="0"/>
        </w:rPr>
        <w:t>».</w:t>
      </w:r>
    </w:p>
    <w:p>
      <w:pPr>
        <w:pStyle w:val="Style20"/>
        <w:widowControl w:val="0"/>
        <w:keepNext w:val="0"/>
        <w:keepLines w:val="0"/>
        <w:shd w:val="clear" w:color="auto" w:fill="auto"/>
        <w:bidi w:val="0"/>
        <w:spacing w:before="0" w:after="0" w:line="322" w:lineRule="exact"/>
        <w:ind w:left="20" w:right="4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20"/>
        <w:widowControl w:val="0"/>
        <w:keepNext w:val="0"/>
        <w:keepLines w:val="0"/>
        <w:shd w:val="clear" w:color="auto" w:fill="auto"/>
        <w:bidi w:val="0"/>
        <w:spacing w:before="0" w:after="0" w:line="322" w:lineRule="exact"/>
        <w:ind w:left="20" w:right="40" w:firstLine="680"/>
      </w:pPr>
      <w:r>
        <w:rPr>
          <w:lang w:val="ru-RU" w:eastAsia="ru-RU" w:bidi="ru-RU"/>
          <w:w w:val="100"/>
          <w:spacing w:val="0"/>
          <w:color w:val="000000"/>
          <w:position w:val="0"/>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20"/>
        <w:widowControl w:val="0"/>
        <w:keepNext w:val="0"/>
        <w:keepLines w:val="0"/>
        <w:shd w:val="clear" w:color="auto" w:fill="auto"/>
        <w:bidi w:val="0"/>
        <w:spacing w:before="0" w:after="0" w:line="322" w:lineRule="exact"/>
        <w:ind w:left="20" w:right="40" w:firstLine="68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20"/>
        <w:numPr>
          <w:ilvl w:val="0"/>
          <w:numId w:val="3"/>
        </w:numPr>
        <w:tabs>
          <w:tab w:leader="none" w:pos="1058" w:val="left"/>
        </w:tabs>
        <w:widowControl w:val="0"/>
        <w:keepNext w:val="0"/>
        <w:keepLines w:val="0"/>
        <w:shd w:val="clear" w:color="auto" w:fill="auto"/>
        <w:bidi w:val="0"/>
        <w:spacing w:before="0" w:after="0" w:line="322" w:lineRule="exact"/>
        <w:ind w:left="20" w:right="40" w:firstLine="6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0"/>
        <w:numPr>
          <w:ilvl w:val="0"/>
          <w:numId w:val="3"/>
        </w:numPr>
        <w:tabs>
          <w:tab w:leader="none" w:pos="1110"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09.06.2022 №ИИ3 объектом закупки является оказание услуг по организации летнего студенческого лагеря спортивно-оздоровительной, физкультурной и культурно-образовательной направленности для обучающихся (студентов) старше 18 лет очной формы обучения федерального государственного бюджетного образовательного учреждения высшего образования «Московский педагогический государственный университет» (МПГУ) летом 2022 года.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При этом описанием объекта закупки установлены в том числе следующие требования к оказываемым услугам:</w:t>
      </w:r>
    </w:p>
    <w:p>
      <w:pPr>
        <w:pStyle w:val="Style20"/>
        <w:numPr>
          <w:ilvl w:val="0"/>
          <w:numId w:val="5"/>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«Требования к инфраструктуре размещения: Наличие непосредственно на территории не далее 150 метров от корпусов проживания»:</w:t>
      </w:r>
    </w:p>
    <w:p>
      <w:pPr>
        <w:pStyle w:val="Style20"/>
        <w:numPr>
          <w:ilvl w:val="0"/>
          <w:numId w:val="7"/>
        </w:numPr>
        <w:tabs>
          <w:tab w:leader="none" w:pos="1719"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«стационарного открытого бассейна капитальной постройки не менее 25х12,5м., с количеством дорожек не менее 6-ти, с системой фильтрации воды, оборудованной вокруг него зоной отдыха (шезлонги, столики) и душевыми с горячей и холодной водой»;</w:t>
      </w:r>
    </w:p>
    <w:p>
      <w:pPr>
        <w:pStyle w:val="Style20"/>
        <w:numPr>
          <w:ilvl w:val="0"/>
          <w:numId w:val="7"/>
        </w:numPr>
        <w:tabs>
          <w:tab w:leader="none" w:pos="1719"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«современной оборудованной площадки или диско-клуба, для проведения концертов, дискотек и просмотра кинофильмов, вместимостью не менее 150 человек»;</w:t>
      </w:r>
    </w:p>
    <w:p>
      <w:pPr>
        <w:pStyle w:val="Style20"/>
        <w:numPr>
          <w:ilvl w:val="0"/>
          <w:numId w:val="5"/>
        </w:numPr>
        <w:tabs>
          <w:tab w:leader="none" w:pos="6932"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«Требования к месту оказания услуг»:</w:t>
        <w:tab/>
        <w:t>«Во время организации студенческого лагеря проживание других отдыхаю</w:t>
      </w:r>
      <w:r>
        <w:rPr>
          <w:rStyle w:val="CharStyle32"/>
        </w:rPr>
        <w:t>щи</w:t>
      </w:r>
      <w:r>
        <w:rPr>
          <w:lang w:val="ru-RU" w:eastAsia="ru-RU" w:bidi="ru-RU"/>
          <w:w w:val="100"/>
          <w:spacing w:val="0"/>
          <w:color w:val="000000"/>
          <w:position w:val="0"/>
        </w:rPr>
        <w:t>х на территории объекта размещения не допускается».</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силу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а) 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г) с учетом положений ч. 2 ст. 43 Закона о контрактной системе предложение по критериям, предусмотренным п. 2 и (или) 3 ч. 1 ст. 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20"/>
        <w:numPr>
          <w:ilvl w:val="0"/>
          <w:numId w:val="9"/>
        </w:numPr>
        <w:tabs>
          <w:tab w:leader="none" w:pos="999" w:val="left"/>
        </w:tabs>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Комиссией Управления установлено, что в составе заявки Заявителем указан адрес места оказания услуг: «Российская Федерация, Восточное побережье Крыма, городской округ Феодосия., пгт Коктебель. ул. Ленина 24. Филиал АО «Крымтур» ТОСК «Приморье», ИНН 9102035143/ КПП 910201001».</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силу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представители Заказчика пояснили, что по указанному Заявителем адресу места организации летнего лагеря в доме № 24 отсутствует филиал АО «Крымтур» ТОСК «Приморье», верным является адрес: «298186,Республика Крым, г. Феодосия, пгт Коктебель, ул. Ленина, д. 124».</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по мнению Заказчика представлена недостоверная информация.</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представители Заявителя пояснили, что наличие в заявке опечатки в адресе объекта размещения не может рассматриваться в качестве предоставления участником закупочной процедуры недостоверных сведений, поскольку указание ООО «МСЦ Лидер» некорректного адреса объекта размещения является очевидной технической ошибкой, которая не повлекла бы за собой каких-либо преференций для Заявителя, никак не повлияло бы на допуск к участию в закупочной процедуре, либо признание заявленных к оказанию услуг соответствующими требованиям закупочной документации, равно как и не повлекло изменений характера оказываемых услуг.</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Вместе с тем, несмотря на допущенную техническою ошибку Заказчик располагает достоверными сведениями относительно местонахождения филиала АО «Крымтур» ТОСК «Приморье», что напрямую следует из протокола. При этом в случае необходимости, данная техническая ошибка может быть устранена путем направления протокола разногласий при заключении государственного контракта или путём заключения дополнительного соглашения в целях корректировки допущенной неточности.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Заявителем в составе заявке указан ИНН АО «Крымтур» в котором содержится указание на адрес филиала АО «Крымтур» ТОСК «Приморье». Кроме того исходя из пояснений представителей Заказчика, Заказчик направлял в адрес АО «Крымтур» относительно филиала АО «Крымтур» ТОСК «Приморье» расположенного по адресу: Республика Крым, г. Феодосия, пгт Коктебель, ул. Ленина, д. 124, что свидетельствует о том, что Заказчику доподлинно известен адрес филиала АО «Крымтур» ТОСК «Приморье».</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 силу ч.12. ст.48 Закона о контрактной системе при рассмотрении вторых частей заявок на участие в закупке соответствующая заявка подлежит отклонению</w:t>
      </w:r>
    </w:p>
    <w:p>
      <w:pPr>
        <w:pStyle w:val="Style20"/>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в случаях:</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ст.31 Закона о контрактной системе;</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настоящего Федерального закона,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0"/>
        <w:numPr>
          <w:ilvl w:val="0"/>
          <w:numId w:val="11"/>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20"/>
        <w:numPr>
          <w:ilvl w:val="0"/>
          <w:numId w:val="11"/>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в части признания заявки ООО «МСЦ «Лидер» не соответствующей требованиям Закона о контрактной системе, по данному основанию, принято в нарушение пп.«а» п.1 ч.5 ст.49 Закона о контрактной системе, что также свидетельствует о наличии в действиях аукционной комиссии</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Заказчика признаков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20"/>
        <w:numPr>
          <w:ilvl w:val="0"/>
          <w:numId w:val="9"/>
        </w:numPr>
        <w:tabs>
          <w:tab w:leader="none" w:pos="10194" w:val="right"/>
          <w:tab w:leader="none" w:pos="2449"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Комиссией Управления установлено, что в составе заявки Заявителя представлены следующие сведения о предлагаемых услугах:</w:t>
        <w:tab/>
        <w:t>«Выполняются</w:t>
      </w:r>
    </w:p>
    <w:p>
      <w:pPr>
        <w:pStyle w:val="Style20"/>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требования к месту оказания услуг: Филиал АО «Крымтур» ТОСК «Приморье»:</w:t>
      </w:r>
    </w:p>
    <w:p>
      <w:pPr>
        <w:pStyle w:val="Style20"/>
        <w:tabs>
          <w:tab w:leader="none" w:pos="10194" w:val="right"/>
        </w:tabs>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«Выполняются требования к инфраструктуре размещения:</w:t>
        <w:tab/>
        <w:t>Наличие</w:t>
      </w:r>
    </w:p>
    <w:p>
      <w:pPr>
        <w:pStyle w:val="Style20"/>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непосредственно на территории не далее 150 метров от корпусов проживания»:</w:t>
      </w:r>
    </w:p>
    <w:p>
      <w:pPr>
        <w:pStyle w:val="Style20"/>
        <w:numPr>
          <w:ilvl w:val="0"/>
          <w:numId w:val="7"/>
        </w:numPr>
        <w:tabs>
          <w:tab w:leader="none" w:pos="1700"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«стационарный открытый бассейн капитальной постройки 25х12,5м., с количеством дорожек 6 штук, с системой фильтрации воды, оборудованной вокруг него зоной отдыха (шезлонги, столики) и душевыми с горячей и холодной водой»;</w:t>
      </w:r>
    </w:p>
    <w:p>
      <w:pPr>
        <w:pStyle w:val="Style20"/>
        <w:numPr>
          <w:ilvl w:val="0"/>
          <w:numId w:val="7"/>
        </w:numPr>
        <w:tabs>
          <w:tab w:leader="none" w:pos="1700"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«современной оборудованной площадки или диско-клуба, для проведения концертов, дискотек и просмотра кинофильмов, вместимостью не менее 150 человек».</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представители Заказчика пояснили, что в составе заявки участником закупки представлены недостоверные сведения, так как в составе заявке указано на соответствие представляемого в рамках оказания услуг учреждение для отдыха требованиям извещения, однако представляемое учреждение не соответствует требованиям извещения, а именно: в учреждении отсутствует спортивных бассейн, отсутствует современная оборудованная площадка или диско-клуб вместимостью 150 челеловек.</w:t>
      </w:r>
    </w:p>
    <w:p>
      <w:pPr>
        <w:pStyle w:val="Style20"/>
        <w:tabs>
          <w:tab w:leader="none" w:pos="6202" w:val="center"/>
          <w:tab w:leader="none" w:pos="7978" w:val="center"/>
          <w:tab w:leader="none" w:pos="10194" w:val="righ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Представители Заказчика пояснили, что при принятии решения аукционная комиссия Заказчика руководствовалась сведения с официального веб-сайт представленного учреждения. Также Заказчиком был сделан запрос по получению выписки из ФГИС Единого государственного реестра недвижимости об объекте недвижимости. Кадастровый номер:</w:t>
        <w:tab/>
        <w:t>90:24:030102:4191,</w:t>
        <w:tab/>
        <w:t>номер</w:t>
        <w:tab/>
        <w:t>кадастрового</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квартала: 90:24:030101, ранее присвоенный государственный учетный номер: инвентарный номер: 6-544, наименование: Бассейн большой. Площадь: 295 кв.м. На основании полученной схемы расположения объекта недвижимости (части объекта недвижимости) на земельном участке видно, что объект неправильной формы, и исходя из положений Свода правил, условия проектирования СП</w:t>
      </w:r>
    </w:p>
    <w:p>
      <w:pPr>
        <w:pStyle w:val="Style20"/>
        <w:numPr>
          <w:ilvl w:val="0"/>
          <w:numId w:val="13"/>
        </w:numPr>
        <w:tabs>
          <w:tab w:leader="none" w:pos="2262"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«БАССЕЙНЫ ДЛЯ ПЛАВАНИЯ» и расчетов Заказчика следует, что площадь требуемого Заказчику бассейна составляет 312,5 кв.м, в связи с чем аукционная комиссия Заказчика пришла к выводу о наличии недостоверных сведений в составе заявки Заявителя.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представители Заявителя, не согласившись с доводами Заказчика, пояснил, что на веб-сайте представляемого в рамках оказания услуг учреждение для отдыха содержится не полная информация о зонах отдыха и иных помещениях, площадок имеющихся у учреждения.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подтверждение своей позиции представители Заявителя представили на обозрение Комиссии Управления письма от 20.06.2022 и 15.07.2022 представляемого в составе заявки учреждения отдыха АО «Крымтур» ТОСК «Приморье» в составе которых однозначно указано на наличие у АО «Крымтур»</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ТОСК «Приморье» требуемого бассейна и площадок. Кроме того в данных письмах АО «Крымтур» ТОСК «Приморье» указывает, что на веб-сайте ТОСК «Приморье» отображены не полные, рекламные сведения об организации.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Комиссия Управления отмечает, что данные, указанные на сайтах организаций не всегда являются корректными, поскольку информация распространяемая в рекламных и маркетинговых целях — коммерческие предложения, рекламные буклеты, веб-сайт, СМИ и подобные — носит об</w:t>
      </w:r>
      <w:r>
        <w:rPr>
          <w:rStyle w:val="CharStyle32"/>
        </w:rPr>
        <w:t>щи</w:t>
      </w:r>
      <w:r>
        <w:rPr>
          <w:lang w:val="ru-RU" w:eastAsia="ru-RU" w:bidi="ru-RU"/>
          <w:w w:val="100"/>
          <w:spacing w:val="0"/>
          <w:color w:val="000000"/>
          <w:position w:val="0"/>
        </w:rPr>
        <w:t>й информационно-ознакомительный характер и никоим образом не может однозначно свидетельствовать о наличии или отсутствии у организации помещений и площадок, поскольку такая доказательная база может быть опровергнута официальным письмом или представителем организации.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Кроме того, Комиссия Управления отмечает, что в опубликованном в составе извещения описании объекта закупки отсутствует указание на необходимость наличия у учреждения отдыха именно </w:t>
      </w:r>
      <w:r>
        <w:rPr>
          <w:rStyle w:val="CharStyle28"/>
        </w:rPr>
        <w:t>спортивного</w:t>
      </w:r>
      <w:r>
        <w:rPr>
          <w:lang w:val="ru-RU" w:eastAsia="ru-RU" w:bidi="ru-RU"/>
          <w:w w:val="100"/>
          <w:spacing w:val="0"/>
          <w:color w:val="000000"/>
          <w:position w:val="0"/>
        </w:rPr>
        <w:t xml:space="preserve"> бассейна, и о необходимости соответствия бассейна положениям Свода правил, условия проектирования СП</w:t>
      </w:r>
    </w:p>
    <w:p>
      <w:pPr>
        <w:pStyle w:val="Style20"/>
        <w:numPr>
          <w:ilvl w:val="0"/>
          <w:numId w:val="15"/>
        </w:numPr>
        <w:tabs>
          <w:tab w:leader="none" w:pos="2253"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«БАССЕЙНЫ ДЛЯ ПЛАВАНИЯ».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Вместе с тем Комиссия Управления отмечает,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 .</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Предоставленное заказчику право отклонить поданную заявку в случае обнаружения в ней недостоверных сведений на любом этапе проведения закупки свидетельствует о том, что располагать такой информацией Заказчик должен непосредственно на момент принятия соответствующего решения (отказ в допуске либо отказ от заключения договора), причем располагать именно доказательствами такой недостоверности, но не руководствоваться предположениями.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Каких-либо оснований сомневаться в достоверности представленных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у аукционной комиссии Заказчика отсутствовали правовые основания для признания заявки Заявителя не соответствующей требованиям извещения и Закона о контрактной системе по указанным в протоколе основаниям.</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в части признания заявки ООО «МСЦ «Лидер» не соответствующей требованиям Закона о контрактной системе, по вышерассмотренным основаниям принято в нарушение пп.«а» п.1 ч.5 ст.49 Закона о контрактной системе, что также свидетельствует о наличии в действиях аукционной комиссии Заказчика признаков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20"/>
        <w:numPr>
          <w:ilvl w:val="0"/>
          <w:numId w:val="9"/>
        </w:numPr>
        <w:tabs>
          <w:tab w:leader="none" w:pos="10201" w:val="right"/>
          <w:tab w:leader="none" w:pos="1024"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Комиссией Управления также установлено, что в составе заявки Заявителя представлены следующие сведения о предлагаемых услугах:</w:t>
        <w:tab/>
        <w:t>«Выполняются</w:t>
      </w:r>
    </w:p>
    <w:p>
      <w:pPr>
        <w:pStyle w:val="Style20"/>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требования к месту оказания услуг: Филиал АО «Крымтур» ТОСК «Приморье»: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«Во время организации студенческого лагеря проживание других отдыхаю</w:t>
      </w:r>
      <w:r>
        <w:rPr>
          <w:rStyle w:val="CharStyle32"/>
        </w:rPr>
        <w:t>щи</w:t>
      </w:r>
      <w:r>
        <w:rPr>
          <w:lang w:val="ru-RU" w:eastAsia="ru-RU" w:bidi="ru-RU"/>
          <w:w w:val="100"/>
          <w:spacing w:val="0"/>
          <w:color w:val="000000"/>
          <w:position w:val="0"/>
        </w:rPr>
        <w:t>х на территории объекта размещения не производится».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представители Заказчика пояснили, что по имеющимся у Заказчика данным на момент оказания услуг на территории ТОСК «Приморье» будут проживать посторонние лица, что подтверждается имеющимися у Заказчика оплаченными бронированиями на предполагаемые даты оказания услуг по контракту.</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представители Заявителя пояснили, что на данный момент с Заказчиком еще не заключен государственный контракт на основании которого исполнитель по контракту будет заключать дополнительное соглашение с Филиалом АО «Крымтур» ТОСК «Приморье» об обеспечении на момент оказания услуг, проживания на территории Филиала АО «Крымтур» ТОСК «Приморье» студентов и сотрудников Заказчика.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Комиссия Управления также отмечает, что представленные, что представленные Заказчиком брони не подтверждают не возможность Филиала АО «Крымтур» ТОСК «Приморье» совершить действий по предоставлению отдыхающим (не являющимся обучающимися (студентами) Заказчика) иных мест для проживания на время оказания услуг по государственному контракту или по расторжению договоров с отдыхающими.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При этом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24.02.2005 № 3 «О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 (п. 7).</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Вместе с тем представленные Заказчиком брони не могут неопровержимо свидетельствовать о фактическом нахождении на момент оказания услуг на территории Филиала АО «Крымтур» ТОСК «Приморье» иных лиц помимо студентов и сотрудников Заказчика.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у аукционной комиссии Заказчика отсутствовали правовые основания для признания заявки Заявителя не соответствующей требованиям извещения по указанному основанию в протоколе основанию.</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в части признания заявки ООО «МСЦ «Лидер» не соответствующей требованиям Закона о контрактной системе, принято в нарушение пп.«а» п.1 ч.5 ст.49 Закона о контрактной системе, что также свидетельствует о наличии в действиях аукционной комиссии Заказчика признаков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20"/>
        <w:numPr>
          <w:ilvl w:val="0"/>
          <w:numId w:val="9"/>
        </w:numPr>
        <w:tabs>
          <w:tab w:leader="none" w:pos="1038"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Также в составе жалобы Заявитель указывает на неправомерные действия аукционной комиссии Заказчика выразившиеся в признании заявки ИП Литковский Ю.Н. и ООО «Крымтурбюро на Москольце» соответствующими требованиям аукционной документации по результатам рассмотрения заявок.</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11.07.2022 №ИЭА2 заявки ИП Литковский Ю.Н. и ООО «Крымтурбюро на Москольце» признаны соответствующими требованиям документации.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Представители Заявителя пояснили, что данными участниками закупки в качестве места оказания услуг предложен спортивно-оздоровительный центр «Стимул».</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Вместе с тем по мнению Заявителя спортивно-оздоровительный центр «Стимул» не соответствует требованиям Технического задания поскольку исходя из сведений с сайта СОЦ «Стимул» и геосъёмки земельного участка на объекте не имеется площадки для мероприятий на 150 человек, конференц-зала на 80 человек, отсутствует 2я спортивная площадка, требуемые по Техническому заданию, а расположено только одно футбольное поле и крытый тренажерный зал.</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представителями Заказчика представлено письмо от 18.07.2022 подтверждающее соответствие СОЦ «Стимул» требованиям Технического задания.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Также Комиссия Управления отмечает, что данные, указанные на сайтах организаций не всегда являются корректными, поскольку информация распространяемая в рекламных и маркетинговых целях — коммерческие предложения, рекламные буклеты, веб-сайт, СМИ и подобные — носит об</w:t>
      </w:r>
      <w:r>
        <w:rPr>
          <w:rStyle w:val="CharStyle32"/>
        </w:rPr>
        <w:t>щи</w:t>
      </w:r>
      <w:r>
        <w:rPr>
          <w:lang w:val="ru-RU" w:eastAsia="ru-RU" w:bidi="ru-RU"/>
          <w:w w:val="100"/>
          <w:spacing w:val="0"/>
          <w:color w:val="000000"/>
          <w:position w:val="0"/>
        </w:rPr>
        <w:t>й информационно-ознакомительный характер и никоим образом не может однозначно свидетельствовать о наличии или отсутствии у организации помещений и площадок, поскольку такая доказательная база может быть опровергнута официальным письмом или представителем организации.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как следует из материалов дела, поданные ИП Литковский Ю.Н. и ООО «Крымтурбюро на Москольце» заявки в части оспариваемых сведений требованиям аукционной документации соответствовали. Каких-либо оснований сомневаться в достоверности представленных в них сведений в контексте ч. 5 ст. 10 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последний не располагал.</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Доказательств иного представителем Заявителя на заседании Комиссии Управления, а также в составе жалобы, не представлено.</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отсутствовали основания для признания заявок ИП Литковский Ю.Н. и ООО «Крымтурбюро на Москольце» несоответствующими по вышеописанным обстоятельствам, в связи с чем решение аукционной комиссии Заказчика о признании заявок ИП Литковский Ю.Н. и ООО «Крымтурбюро на Москольце» соответствующими является правомерным.</w:t>
      </w:r>
    </w:p>
    <w:p>
      <w:pPr>
        <w:pStyle w:val="Style20"/>
        <w:widowControl w:val="0"/>
        <w:keepNext w:val="0"/>
        <w:keepLines w:val="0"/>
        <w:shd w:val="clear" w:color="auto" w:fill="auto"/>
        <w:bidi w:val="0"/>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6"/>
        <w:widowControl w:val="0"/>
        <w:keepNext/>
        <w:keepLines/>
        <w:shd w:val="clear" w:color="auto" w:fill="auto"/>
        <w:bidi w:val="0"/>
        <w:jc w:val="left"/>
        <w:spacing w:before="0" w:after="299" w:line="260" w:lineRule="exact"/>
        <w:ind w:left="4760" w:right="0" w:firstLine="0"/>
      </w:pPr>
      <w:bookmarkStart w:id="1" w:name="bookmark1"/>
      <w:r>
        <w:rPr>
          <w:lang w:val="ru-RU" w:eastAsia="ru-RU" w:bidi="ru-RU"/>
          <w:w w:val="100"/>
          <w:spacing w:val="0"/>
          <w:color w:val="000000"/>
          <w:position w:val="0"/>
        </w:rPr>
        <w:t>РЕШИЛА:</w:t>
      </w:r>
      <w:bookmarkEnd w:id="1"/>
    </w:p>
    <w:p>
      <w:pPr>
        <w:pStyle w:val="Style20"/>
        <w:numPr>
          <w:ilvl w:val="0"/>
          <w:numId w:val="17"/>
        </w:numPr>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 xml:space="preserve"> Признать жалобу ООО «МСЦ «Лидер» на действия аукционной комиссии ФГБОУ ВО «МПГУ» обоснованной в части неправомерного признания заявки ООО «МСЦ «Лидер» несоответствующей требованиям извещения о проведении электронного аукциона и Закону о контактной системе.</w:t>
      </w:r>
    </w:p>
    <w:p>
      <w:pPr>
        <w:pStyle w:val="Style20"/>
        <w:numPr>
          <w:ilvl w:val="0"/>
          <w:numId w:val="17"/>
        </w:numPr>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 xml:space="preserve"> Признать в действиях аукционной комиссии Заказчика нарушения пп.«а» п.1 ч.5 ст.49 Закона о контрактной системе.</w:t>
      </w:r>
    </w:p>
    <w:p>
      <w:pPr>
        <w:pStyle w:val="Style20"/>
        <w:numPr>
          <w:ilvl w:val="0"/>
          <w:numId w:val="17"/>
        </w:numPr>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20"/>
        <w:numPr>
          <w:ilvl w:val="0"/>
          <w:numId w:val="17"/>
        </w:numPr>
        <w:widowControl w:val="0"/>
        <w:keepNext w:val="0"/>
        <w:keepLines w:val="0"/>
        <w:shd w:val="clear" w:color="auto" w:fill="auto"/>
        <w:bidi w:val="0"/>
        <w:spacing w:before="0" w:after="300" w:line="322"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spacing w:before="0" w:after="43"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tabs>
          <w:tab w:leader="none" w:pos="8856" w:val="right"/>
          <w:tab w:leader="none" w:pos="10133"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Председательствующий:</w:t>
        <w:tab/>
        <w:t>Д.С.</w:t>
        <w:tab/>
        <w:t>Грешнева</w:t>
      </w:r>
    </w:p>
    <w:p>
      <w:pPr>
        <w:pStyle w:val="Style20"/>
        <w:tabs>
          <w:tab w:leader="none" w:pos="8621" w:val="right"/>
          <w:tab w:leader="none" w:pos="10133" w:val="right"/>
        </w:tabs>
        <w:widowControl w:val="0"/>
        <w:keepNext w:val="0"/>
        <w:keepLines w:val="0"/>
        <w:shd w:val="clear" w:color="auto" w:fill="auto"/>
        <w:bidi w:val="0"/>
        <w:spacing w:before="0" w:after="0" w:line="643" w:lineRule="exact"/>
        <w:ind w:left="0" w:right="0" w:firstLine="0"/>
      </w:pPr>
      <w:r>
        <w:rPr>
          <w:lang w:val="ru-RU" w:eastAsia="ru-RU" w:bidi="ru-RU"/>
          <w:w w:val="100"/>
          <w:spacing w:val="0"/>
          <w:color w:val="000000"/>
          <w:position w:val="0"/>
        </w:rPr>
        <w:t>Члены Комиссии:</w:t>
        <w:tab/>
        <w:t>А.А.</w:t>
        <w:tab/>
        <w:t>Кутейников</w:t>
      </w:r>
    </w:p>
    <w:p>
      <w:pPr>
        <w:pStyle w:val="Style20"/>
        <w:tabs>
          <w:tab w:leader="none" w:pos="9471" w:val="left"/>
        </w:tabs>
        <w:widowControl w:val="0"/>
        <w:keepNext w:val="0"/>
        <w:keepLines w:val="0"/>
        <w:shd w:val="clear" w:color="auto" w:fill="auto"/>
        <w:bidi w:val="0"/>
        <w:spacing w:before="0" w:after="1631" w:line="643" w:lineRule="exact"/>
        <w:ind w:left="8860" w:right="0" w:firstLine="0"/>
      </w:pPr>
      <w:r>
        <w:rPr>
          <w:lang w:val="ru-RU" w:eastAsia="ru-RU" w:bidi="ru-RU"/>
          <w:w w:val="100"/>
          <w:spacing w:val="0"/>
          <w:color w:val="000000"/>
          <w:position w:val="0"/>
        </w:rPr>
        <w:t>Э.З.</w:t>
        <w:tab/>
        <w:t>Гугава</w:t>
      </w:r>
    </w:p>
    <w:p>
      <w:pPr>
        <w:pStyle w:val="Style33"/>
        <w:widowControl w:val="0"/>
        <w:keepNext w:val="0"/>
        <w:keepLines w:val="0"/>
        <w:shd w:val="clear" w:color="auto" w:fill="auto"/>
        <w:bidi w:val="0"/>
        <w:jc w:val="left"/>
        <w:spacing w:before="0" w:after="0"/>
        <w:ind w:left="0" w:right="8220" w:firstLine="0"/>
      </w:pPr>
      <w:r>
        <w:rPr>
          <w:lang w:val="ru-RU" w:eastAsia="ru-RU" w:bidi="ru-RU"/>
          <w:w w:val="100"/>
          <w:spacing w:val="0"/>
          <w:color w:val="000000"/>
          <w:position w:val="0"/>
        </w:rPr>
        <w:t>Исп.Кутейников А.А. тел.8(495)784-75-05</w:t>
      </w:r>
    </w:p>
    <w:sectPr>
      <w:pgSz w:w="11909" w:h="16838"/>
      <w:pgMar w:top="1459" w:left="849" w:right="830" w:bottom="144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4.15pt;margin-top:787.2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2022-42178</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6.9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2022-42178</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4.1pt;margin-top:47.5pt;width:10.1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10.132580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310.132580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7">
    <w:name w:val="Заголовок №1_"/>
    <w:basedOn w:val="DefaultParagraphFont"/>
    <w:link w:val="Style26"/>
    <w:rPr>
      <w:b/>
      <w:bCs/>
      <w:i w:val="0"/>
      <w:iCs w:val="0"/>
      <w:u w:val="none"/>
      <w:strike w:val="0"/>
      <w:smallCaps w:val="0"/>
      <w:sz w:val="26"/>
      <w:szCs w:val="26"/>
      <w:rFonts w:ascii="Times New Roman" w:eastAsia="Times New Roman" w:hAnsi="Times New Roman" w:cs="Times New Roman"/>
    </w:rPr>
  </w:style>
  <w:style w:type="character" w:customStyle="1" w:styleId="CharStyle28">
    <w:name w:val="Основной текст + Курсив"/>
    <w:basedOn w:val="CharStyle21"/>
    <w:rPr>
      <w:lang w:val="ru-RU" w:eastAsia="ru-RU" w:bidi="ru-RU"/>
      <w:i/>
      <w:iCs/>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1">
    <w:name w:val="Основной текст (6) + Не курсив"/>
    <w:basedOn w:val="CharStyle30"/>
    <w:rPr>
      <w:lang w:val="ru-RU" w:eastAsia="ru-RU" w:bidi="ru-RU"/>
      <w:i/>
      <w:iCs/>
      <w:w w:val="100"/>
      <w:spacing w:val="0"/>
      <w:color w:val="000000"/>
      <w:position w:val="0"/>
    </w:rPr>
  </w:style>
  <w:style w:type="character" w:customStyle="1" w:styleId="CharStyle32">
    <w:name w:val="Основной текст"/>
    <w:basedOn w:val="CharStyle21"/>
    <w:rPr>
      <w:lang w:val="ru-RU" w:eastAsia="ru-RU" w:bidi="ru-RU"/>
      <w:u w:val="single"/>
      <w:w w:val="100"/>
      <w:spacing w:val="0"/>
      <w:color w:val="000000"/>
      <w:position w:val="0"/>
    </w:rPr>
  </w:style>
  <w:style w:type="character" w:customStyle="1" w:styleId="CharStyle34">
    <w:name w:val="Основной текст (7)_"/>
    <w:basedOn w:val="DefaultParagraphFont"/>
    <w:link w:val="Style33"/>
    <w:rPr>
      <w:b/>
      <w:bCs/>
      <w:i w:val="0"/>
      <w:iCs w:val="0"/>
      <w:u w:val="none"/>
      <w:strike w:val="0"/>
      <w:smallCaps w:val="0"/>
      <w:sz w:val="20"/>
      <w:szCs w:val="2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26">
    <w:name w:val="Заголовок №1"/>
    <w:basedOn w:val="Normal"/>
    <w:link w:val="CharStyle27"/>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spacing w:before="1320" w:line="254"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