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1" w:after="60"/>
        <w:ind w:left="0" w:right="2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03"/>
        <w:ind w:left="0" w:right="20" w:firstLine="0"/>
      </w:pPr>
      <w:r>
        <w:rPr>
          <w:lang w:val="ru-RU" w:eastAsia="ru-RU" w:bidi="ru-RU"/>
          <w:w w:val="100"/>
          <w:spacing w:val="0"/>
          <w:color w:val="000000"/>
          <w:position w:val="0"/>
        </w:rPr>
        <w:t>УПРАВЛЕНИЕ Федеральной антимонопольной службы по Ханты-Мансийскому автономному округу - Югре</w:t>
      </w:r>
    </w:p>
    <w:p>
      <w:pPr>
        <w:pStyle w:val="Style5"/>
        <w:widowControl w:val="0"/>
        <w:keepNext w:val="0"/>
        <w:keepLines w:val="0"/>
        <w:shd w:val="clear" w:color="auto" w:fill="auto"/>
        <w:bidi w:val="0"/>
        <w:spacing w:before="0" w:after="118"/>
        <w:ind w:left="0" w:right="2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rPr>
          <w:rStyle w:val="CharStyle7"/>
        </w:rPr>
        <w:t>to86(fl</w:t>
      </w:r>
      <w:r>
        <w:rPr>
          <w:rStyle w:val="CharStyle7"/>
          <w:vertAlign w:val="superscript"/>
        </w:rPr>
        <w:t>;</w:t>
      </w:r>
      <w:r>
        <w:rPr>
          <w:rStyle w:val="CharStyle7"/>
        </w:rPr>
        <w:t>fas.szov.ru</w:t>
      </w:r>
    </w:p>
    <w:p>
      <w:pPr>
        <w:pStyle w:val="Style8"/>
        <w:tabs>
          <w:tab w:leader="none" w:pos="1602" w:val="left"/>
        </w:tabs>
        <w:widowControl w:val="0"/>
        <w:keepNext w:val="0"/>
        <w:keepLines w:val="0"/>
        <w:shd w:val="clear" w:color="auto" w:fill="auto"/>
        <w:bidi w:val="0"/>
        <w:spacing w:before="0" w:after="0" w:line="380" w:lineRule="exact"/>
        <w:ind w:left="0" w:right="0" w:firstLine="0"/>
      </w:pPr>
      <w:r>
        <w:rPr>
          <w:rStyle w:val="CharStyle10"/>
        </w:rPr>
        <w:t>jj_</w:t>
      </w:r>
      <w:r>
        <w:rPr>
          <w:rStyle w:val="CharStyle11"/>
          <w:lang w:val="en-US" w:eastAsia="en-US" w:bidi="en-US"/>
        </w:rPr>
        <w:t xml:space="preserve"> </w:t>
      </w:r>
      <w:r>
        <w:rPr>
          <w:rStyle w:val="CharStyle11"/>
        </w:rPr>
        <w:t>//</w:t>
        <w:tab/>
      </w:r>
      <w:r>
        <w:rPr>
          <w:rStyle w:val="CharStyle12"/>
        </w:rPr>
        <w:t>2017</w:t>
      </w:r>
      <w:r>
        <w:rPr>
          <w:lang w:val="ru-RU" w:eastAsia="ru-RU" w:bidi="ru-RU"/>
          <w:w w:val="100"/>
          <w:spacing w:val="0"/>
          <w:color w:val="000000"/>
          <w:position w:val="0"/>
        </w:rPr>
        <w:t xml:space="preserve"> № </w:t>
      </w:r>
      <w:r>
        <w:rPr>
          <w:rStyle w:val="CharStyle12"/>
        </w:rPr>
        <w:t xml:space="preserve">03/КА- </w:t>
      </w:r>
      <w:r>
        <w:rPr>
          <w:rStyle w:val="CharStyle11"/>
        </w:rPr>
        <w:t>/^/-5</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ОАО «ЕЭТП»</w:t>
      </w:r>
    </w:p>
    <w:p>
      <w:pPr>
        <w:pStyle w:val="Style8"/>
        <w:widowControl w:val="0"/>
        <w:keepNext w:val="0"/>
        <w:keepLines w:val="0"/>
        <w:shd w:val="clear" w:color="auto" w:fill="auto"/>
        <w:bidi w:val="0"/>
        <w:jc w:val="left"/>
        <w:spacing w:before="0" w:after="0" w:line="274" w:lineRule="exact"/>
        <w:ind w:left="0" w:right="40" w:firstLine="0"/>
      </w:pPr>
      <w:r>
        <w:rPr>
          <w:lang w:val="ru-RU" w:eastAsia="ru-RU" w:bidi="ru-RU"/>
          <w:w w:val="100"/>
          <w:spacing w:val="0"/>
          <w:color w:val="000000"/>
          <w:position w:val="0"/>
        </w:rPr>
        <w:t>117312, Москва, пр-т 60-летия Октября, д. 9</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Заявитель:</w:t>
      </w:r>
    </w:p>
    <w:p>
      <w:pPr>
        <w:pStyle w:val="Style8"/>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ООО «ТОРГОВЫЙ ДОМ «ВИАЛ»</w:t>
      </w:r>
    </w:p>
    <w:p>
      <w:pPr>
        <w:pStyle w:val="Style8"/>
        <w:widowControl w:val="0"/>
        <w:keepNext w:val="0"/>
        <w:keepLines w:val="0"/>
        <w:shd w:val="clear" w:color="auto" w:fill="auto"/>
        <w:bidi w:val="0"/>
        <w:jc w:val="left"/>
        <w:spacing w:before="0" w:after="0" w:line="274" w:lineRule="exact"/>
        <w:ind w:left="0" w:right="40" w:firstLine="0"/>
      </w:pPr>
      <w:r>
        <w:rPr>
          <w:lang w:val="ru-RU" w:eastAsia="ru-RU" w:bidi="ru-RU"/>
          <w:w w:val="100"/>
          <w:spacing w:val="0"/>
          <w:color w:val="000000"/>
          <w:position w:val="0"/>
        </w:rPr>
        <w:t xml:space="preserve">109651, Москва, ул. Перерва, д.9, стр.1 </w:t>
      </w:r>
      <w:r>
        <w:rPr>
          <w:rStyle w:val="CharStyle13"/>
        </w:rPr>
        <w:t>Заказчик:</w:t>
      </w:r>
    </w:p>
    <w:p>
      <w:pPr>
        <w:pStyle w:val="Style8"/>
        <w:widowControl w:val="0"/>
        <w:keepNext w:val="0"/>
        <w:keepLines w:val="0"/>
        <w:shd w:val="clear" w:color="auto" w:fill="auto"/>
        <w:bidi w:val="0"/>
        <w:jc w:val="left"/>
        <w:spacing w:before="0" w:after="0" w:line="274" w:lineRule="exact"/>
        <w:ind w:left="0" w:right="40" w:firstLine="0"/>
        <w:sectPr>
          <w:footnotePr>
            <w:pos w:val="pageBottom"/>
            <w:numFmt w:val="decimal"/>
            <w:numRestart w:val="continuous"/>
          </w:footnotePr>
          <w:type w:val="continuous"/>
          <w:pgSz w:w="11906" w:h="16838"/>
          <w:pgMar w:top="894" w:left="1239" w:right="1307" w:bottom="923" w:header="0" w:footer="3" w:gutter="0"/>
          <w:rtlGutter w:val="0"/>
          <w:cols w:num="2" w:space="655"/>
          <w:noEndnote/>
          <w:docGrid w:linePitch="360"/>
        </w:sectPr>
      </w:pPr>
      <w:r>
        <w:rPr>
          <w:lang w:val="ru-RU" w:eastAsia="ru-RU" w:bidi="ru-RU"/>
          <w:w w:val="100"/>
          <w:spacing w:val="0"/>
          <w:color w:val="000000"/>
          <w:position w:val="0"/>
        </w:rPr>
        <w:t>Бюджетное учреждение Ханты- Мансийского автономного округа - Югры «Окружная клиническая больница» 628012, Ханты-Мансийский Автономный округ - Югра, Ханты-Мансийск г, ул. Калинина, 40</w:t>
      </w:r>
    </w:p>
    <w:p>
      <w:pPr>
        <w:widowControl w:val="0"/>
        <w:spacing w:before="103" w:after="10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08" w:line="230" w:lineRule="exact"/>
        <w:ind w:left="0" w:right="0" w:firstLine="0"/>
      </w:pPr>
      <w:r>
        <w:rPr>
          <w:lang w:val="ru-RU" w:eastAsia="ru-RU" w:bidi="ru-RU"/>
          <w:w w:val="100"/>
          <w:spacing w:val="0"/>
          <w:color w:val="000000"/>
          <w:position w:val="0"/>
        </w:rPr>
        <w:t>РЕШЕНИЕ</w:t>
      </w:r>
    </w:p>
    <w:p>
      <w:pPr>
        <w:pStyle w:val="Style8"/>
        <w:tabs>
          <w:tab w:leader="none" w:pos="9657"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Резолютивная часть объявлена 13.11.2017</w:t>
        <w:tab/>
        <w:t>г.Ханты-Мансийск</w:t>
      </w:r>
    </w:p>
    <w:p>
      <w:pPr>
        <w:pStyle w:val="Style8"/>
        <w:widowControl w:val="0"/>
        <w:keepNext w:val="0"/>
        <w:keepLines w:val="0"/>
        <w:shd w:val="clear" w:color="auto" w:fill="auto"/>
        <w:bidi w:val="0"/>
        <w:spacing w:before="0" w:after="240" w:line="274" w:lineRule="exact"/>
        <w:ind w:left="20" w:right="0" w:firstLine="0"/>
      </w:pPr>
      <w:r>
        <w:rPr>
          <w:lang w:val="ru-RU" w:eastAsia="ru-RU" w:bidi="ru-RU"/>
          <w:w w:val="100"/>
          <w:spacing w:val="0"/>
          <w:color w:val="000000"/>
          <w:position w:val="0"/>
        </w:rPr>
        <w:t>Изготовлено в полном объеме 15.11.2017</w:t>
      </w:r>
    </w:p>
    <w:p>
      <w:pPr>
        <w:pStyle w:val="Style8"/>
        <w:widowControl w:val="0"/>
        <w:keepNext w:val="0"/>
        <w:keepLines w:val="0"/>
        <w:shd w:val="clear" w:color="auto" w:fill="auto"/>
        <w:bidi w:val="0"/>
        <w:spacing w:before="0" w:after="6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Ханты- Мансийскому автономному округу - Югре (далее - Комиссия Управления) по контролю в сфере закупок (размещения заказов) товаров, работ, услуг для обеспечения государственных и муниципальных нужд в составе:</w:t>
      </w:r>
    </w:p>
    <w:p>
      <w:pPr>
        <w:pStyle w:val="Style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Председателя комиссии:</w:t>
      </w:r>
    </w:p>
    <w:p>
      <w:pPr>
        <w:pStyle w:val="Style8"/>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Демкин А.В. - Руководитель Управления;</w:t>
      </w:r>
    </w:p>
    <w:p>
      <w:pPr>
        <w:pStyle w:val="Style8"/>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Членов комиссии:</w:t>
      </w:r>
    </w:p>
    <w:p>
      <w:pPr>
        <w:pStyle w:val="Style8"/>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Миронов А.Г. - Заместитель руководителя Управления;,</w:t>
      </w:r>
    </w:p>
    <w:p>
      <w:pPr>
        <w:pStyle w:val="Style8"/>
        <w:numPr>
          <w:ilvl w:val="0"/>
          <w:numId w:val="1"/>
        </w:numPr>
        <w:widowControl w:val="0"/>
        <w:keepNext w:val="0"/>
        <w:keepLines w:val="0"/>
        <w:shd w:val="clear" w:color="auto" w:fill="auto"/>
        <w:bidi w:val="0"/>
        <w:spacing w:before="0" w:after="95" w:line="274" w:lineRule="exact"/>
        <w:ind w:left="20" w:right="0" w:firstLine="720"/>
      </w:pPr>
      <w:r>
        <w:rPr>
          <w:lang w:val="ru-RU" w:eastAsia="ru-RU" w:bidi="ru-RU"/>
          <w:w w:val="100"/>
          <w:spacing w:val="0"/>
          <w:color w:val="000000"/>
          <w:position w:val="0"/>
        </w:rPr>
        <w:t xml:space="preserve"> Капаклы А.Д. - Старший государственный инспектор отдела Управления,</w:t>
      </w:r>
    </w:p>
    <w:p>
      <w:pPr>
        <w:pStyle w:val="Style8"/>
        <w:widowControl w:val="0"/>
        <w:keepNext w:val="0"/>
        <w:keepLines w:val="0"/>
        <w:shd w:val="clear" w:color="auto" w:fill="auto"/>
        <w:bidi w:val="0"/>
        <w:spacing w:before="0" w:after="0" w:line="230" w:lineRule="exact"/>
        <w:ind w:left="20" w:right="0" w:firstLine="720"/>
      </w:pPr>
      <w:r>
        <w:rPr>
          <w:lang w:val="ru-RU" w:eastAsia="ru-RU" w:bidi="ru-RU"/>
          <w:w w:val="100"/>
          <w:spacing w:val="0"/>
          <w:color w:val="000000"/>
          <w:position w:val="0"/>
        </w:rPr>
        <w:t>от Заявителя - не явились, уведомлены надлежащим образом;</w:t>
      </w:r>
    </w:p>
    <w:p>
      <w:pPr>
        <w:pStyle w:val="Style8"/>
        <w:widowControl w:val="0"/>
        <w:keepNext w:val="0"/>
        <w:keepLines w:val="0"/>
        <w:shd w:val="clear" w:color="auto" w:fill="auto"/>
        <w:bidi w:val="0"/>
        <w:spacing w:before="0" w:after="247" w:line="230" w:lineRule="exact"/>
        <w:ind w:left="20" w:right="0" w:firstLine="720"/>
      </w:pPr>
      <w:r>
        <w:rPr>
          <w:lang w:val="ru-RU" w:eastAsia="ru-RU" w:bidi="ru-RU"/>
          <w:w w:val="100"/>
          <w:spacing w:val="0"/>
          <w:color w:val="000000"/>
          <w:position w:val="0"/>
        </w:rPr>
        <w:t>от Заказчика - не явились, уведомлены надлежащим образом;</w:t>
      </w:r>
    </w:p>
    <w:p>
      <w:pPr>
        <w:pStyle w:val="Style8"/>
        <w:tabs>
          <w:tab w:leader="none" w:pos="8174" w:val="center"/>
          <w:tab w:leader="none" w:pos="8905" w:val="center"/>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рассмотрев жалобу ООО «ТОРГОВЫЙ ДОМ «ВИАЛ» от 03.11.2017 №1714-ж на действия Заказчика - Бюджетное учреждение Ханты-Мансийского автономного округа - Югры «Окружная клиническая больница» при проведении электронного аукциона, предметом которого является поставка лекарственного препарата Йопромид (извещение № 0387200002817000428)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w:t>
        <w:tab/>
        <w:t>"О</w:t>
        <w:tab/>
        <w:t>контрактной</w:t>
      </w:r>
    </w:p>
    <w:p>
      <w:pPr>
        <w:pStyle w:val="Style8"/>
        <w:tabs>
          <w:tab w:leader="none" w:pos="7893" w:val="center"/>
          <w:tab w:leader="none" w:pos="9657"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системе в сфере закупок товаров, работ, услуг для обеспечения</w:t>
        <w:tab/>
        <w:t>государственных</w:t>
        <w:tab/>
        <w:t>и</w:t>
      </w:r>
    </w:p>
    <w:p>
      <w:pPr>
        <w:pStyle w:val="Style8"/>
        <w:widowControl w:val="0"/>
        <w:keepNext w:val="0"/>
        <w:keepLines w:val="0"/>
        <w:shd w:val="clear" w:color="auto" w:fill="auto"/>
        <w:bidi w:val="0"/>
        <w:spacing w:before="0" w:after="95" w:line="274" w:lineRule="exact"/>
        <w:ind w:left="20" w:right="0" w:firstLine="0"/>
      </w:pPr>
      <w:r>
        <w:rPr>
          <w:lang w:val="ru-RU" w:eastAsia="ru-RU" w:bidi="ru-RU"/>
          <w:w w:val="100"/>
          <w:spacing w:val="0"/>
          <w:color w:val="000000"/>
          <w:position w:val="0"/>
        </w:rPr>
        <w:t>муниципальных нужд" (далее - Закон о контрактной системе).</w:t>
      </w:r>
    </w:p>
    <w:p>
      <w:pPr>
        <w:pStyle w:val="Style3"/>
        <w:widowControl w:val="0"/>
        <w:keepNext w:val="0"/>
        <w:keepLines w:val="0"/>
        <w:shd w:val="clear" w:color="auto" w:fill="auto"/>
        <w:bidi w:val="0"/>
        <w:spacing w:before="0" w:after="141" w:line="230" w:lineRule="exact"/>
        <w:ind w:left="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Заявителя на действия Заказчика при проведении электронного аукциона.</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 мнению Заявителя его права и интересы нарушены действиями Заказчика, сформировавшего аукционную документацию с нарушением требований Закона о контрактной системе, а именно установленные в техническом задании требования к выведению, отсутствию ограничений для применения у групп пациентов не позволяет предложить участникам закупки взаимозаменяемые лекарственные средства с МНН Йопромид торгового наименования «Йопромид» производства «Новалек Фармасьютикалс Пвт. Лтд», Индия, торгового наименования «Йопромид ГР» производства ЗАО «ИИХР» Россия.</w:t>
      </w:r>
    </w:p>
    <w:p>
      <w:pPr>
        <w:pStyle w:val="Style8"/>
        <w:widowControl w:val="0"/>
        <w:keepNext w:val="0"/>
        <w:keepLines w:val="0"/>
        <w:shd w:val="clear" w:color="auto" w:fill="auto"/>
        <w:bidi w:val="0"/>
        <w:spacing w:before="0" w:after="185" w:line="274" w:lineRule="exact"/>
        <w:ind w:left="40" w:right="20" w:firstLine="560"/>
      </w:pPr>
      <w:r>
        <w:rPr>
          <w:lang w:val="ru-RU" w:eastAsia="ru-RU" w:bidi="ru-RU"/>
          <w:w w:val="100"/>
          <w:spacing w:val="0"/>
          <w:color w:val="000000"/>
          <w:position w:val="0"/>
        </w:rPr>
        <w:t>В Реестре лекарственных средств по лекарственному препарату (МНН Йопромид) имеется следующая информация:</w:t>
      </w:r>
    </w:p>
    <w:tbl>
      <w:tblPr>
        <w:tblOverlap w:val="never"/>
        <w:tblLayout w:type="fixed"/>
        <w:jc w:val="center"/>
      </w:tblPr>
      <w:tblGrid>
        <w:gridCol w:w="1444"/>
        <w:gridCol w:w="1710"/>
        <w:gridCol w:w="1415"/>
        <w:gridCol w:w="1847"/>
        <w:gridCol w:w="1570"/>
        <w:gridCol w:w="1548"/>
      </w:tblGrid>
      <w:tr>
        <w:trPr>
          <w:trHeight w:val="2214" w:hRule="exact"/>
        </w:trPr>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14"/>
              </w:rPr>
              <w:t>Торговое</w:t>
            </w:r>
          </w:p>
          <w:p>
            <w:pPr>
              <w:pStyle w:val="Style8"/>
              <w:framePr w:w="9533"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14"/>
              </w:rPr>
              <w:t>наименование</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Международное непатентованное наименование или группировочное (химическое) наименование</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14"/>
              </w:rPr>
              <w:t>Лекарственная</w:t>
            </w:r>
          </w:p>
          <w:p>
            <w:pPr>
              <w:pStyle w:val="Style8"/>
              <w:framePr w:w="9533"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14"/>
              </w:rPr>
              <w:t>форма</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Наименование держателя или владельца регистрационного удостоверения лекарственного препарата</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Страна держателя или владельца регистрационно го</w:t>
            </w:r>
          </w:p>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удостоверения</w:t>
            </w:r>
          </w:p>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лекарственного</w:t>
            </w:r>
          </w:p>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препарата</w:t>
            </w:r>
          </w:p>
        </w:tc>
        <w:tc>
          <w:tcPr>
            <w:shd w:val="clear" w:color="auto" w:fill="FFFFFF"/>
            <w:tcBorders>
              <w:left w:val="single" w:sz="4"/>
              <w:righ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241" w:lineRule="exact"/>
              <w:ind w:left="0" w:right="0" w:firstLine="0"/>
            </w:pPr>
            <w:r>
              <w:rPr>
                <w:rStyle w:val="CharStyle14"/>
              </w:rPr>
              <w:t>Регистрационн ый номер</w:t>
            </w:r>
          </w:p>
        </w:tc>
      </w:tr>
      <w:tr>
        <w:trPr>
          <w:trHeight w:val="472" w:hRule="exact"/>
        </w:trPr>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Иопромид-ТЛ</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Раствор для инъекций</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АО «Фармославль»</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Россия</w:t>
            </w:r>
          </w:p>
        </w:tc>
        <w:tc>
          <w:tcPr>
            <w:shd w:val="clear" w:color="auto" w:fill="FFFFFF"/>
            <w:tcBorders>
              <w:left w:val="single" w:sz="4"/>
              <w:righ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ЛП 004328- 060617</w:t>
            </w:r>
          </w:p>
        </w:tc>
      </w:tr>
      <w:tr>
        <w:trPr>
          <w:trHeight w:val="472" w:hRule="exact"/>
        </w:trPr>
        <w:tc>
          <w:tcPr>
            <w:shd w:val="clear" w:color="auto" w:fill="FFFFFF"/>
            <w:tcBorders>
              <w:lef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Йопромид - Биарвист</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Раствор для инъекций</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ООО «АЛВИЛС»</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Россия</w:t>
            </w:r>
          </w:p>
        </w:tc>
        <w:tc>
          <w:tcPr>
            <w:shd w:val="clear" w:color="auto" w:fill="FFFFFF"/>
            <w:tcBorders>
              <w:left w:val="single" w:sz="4"/>
              <w:righ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ЛП-003696</w:t>
            </w:r>
          </w:p>
        </w:tc>
      </w:tr>
      <w:tr>
        <w:trPr>
          <w:trHeight w:val="475" w:hRule="exact"/>
        </w:trPr>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 ТР</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Раствор для инъекций</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ООО «Т иарекс»</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Россия</w:t>
            </w:r>
          </w:p>
        </w:tc>
        <w:tc>
          <w:tcPr>
            <w:shd w:val="clear" w:color="auto" w:fill="FFFFFF"/>
            <w:tcBorders>
              <w:left w:val="single" w:sz="4"/>
              <w:righ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ЛП-003110</w:t>
            </w:r>
          </w:p>
        </w:tc>
      </w:tr>
      <w:tr>
        <w:trPr>
          <w:trHeight w:val="464" w:hRule="exact"/>
        </w:trPr>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14"/>
              </w:rPr>
              <w:t>Раствор для инъекций</w:t>
            </w:r>
          </w:p>
        </w:tc>
        <w:tc>
          <w:tcPr>
            <w:shd w:val="clear" w:color="auto" w:fill="FFFFFF"/>
            <w:tcBorders>
              <w:left w:val="single" w:sz="4"/>
              <w:top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ООО «Джодас Экспоим»</w:t>
            </w:r>
          </w:p>
        </w:tc>
        <w:tc>
          <w:tcPr>
            <w:shd w:val="clear" w:color="auto" w:fill="FFFFFF"/>
            <w:tcBorders>
              <w:lef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Россия</w:t>
            </w:r>
          </w:p>
        </w:tc>
        <w:tc>
          <w:tcPr>
            <w:shd w:val="clear" w:color="auto" w:fill="FFFFFF"/>
            <w:tcBorders>
              <w:left w:val="single" w:sz="4"/>
              <w:right w:val="single" w:sz="4"/>
              <w:top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ЛП-002892</w:t>
            </w:r>
          </w:p>
        </w:tc>
      </w:tr>
      <w:tr>
        <w:trPr>
          <w:trHeight w:val="479" w:hRule="exact"/>
        </w:trPr>
        <w:tc>
          <w:tcPr>
            <w:shd w:val="clear" w:color="auto" w:fill="FFFFFF"/>
            <w:tcBorders>
              <w:left w:val="single" w:sz="4"/>
              <w:top w:val="single" w:sz="4"/>
              <w:bottom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Ультравист</w:t>
            </w:r>
          </w:p>
        </w:tc>
        <w:tc>
          <w:tcPr>
            <w:shd w:val="clear" w:color="auto" w:fill="FFFFFF"/>
            <w:tcBorders>
              <w:left w:val="single" w:sz="4"/>
              <w:top w:val="single" w:sz="4"/>
              <w:bottom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bottom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Раствор для инъекций</w:t>
            </w:r>
          </w:p>
        </w:tc>
        <w:tc>
          <w:tcPr>
            <w:shd w:val="clear" w:color="auto" w:fill="FFFFFF"/>
            <w:tcBorders>
              <w:left w:val="single" w:sz="4"/>
              <w:top w:val="single" w:sz="4"/>
              <w:bottom w:val="single" w:sz="4"/>
            </w:tcBorders>
            <w:vAlign w:val="bottom"/>
          </w:tcPr>
          <w:p>
            <w:pPr>
              <w:pStyle w:val="Style8"/>
              <w:framePr w:w="9533"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Байер ШерингФарма АГ</w:t>
            </w:r>
          </w:p>
        </w:tc>
        <w:tc>
          <w:tcPr>
            <w:shd w:val="clear" w:color="auto" w:fill="FFFFFF"/>
            <w:tcBorders>
              <w:left w:val="single" w:sz="4"/>
              <w:top w:val="single" w:sz="4"/>
              <w:bottom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Германия</w:t>
            </w:r>
          </w:p>
        </w:tc>
        <w:tc>
          <w:tcPr>
            <w:shd w:val="clear" w:color="auto" w:fill="FFFFFF"/>
            <w:tcBorders>
              <w:left w:val="single" w:sz="4"/>
              <w:right w:val="single" w:sz="4"/>
              <w:top w:val="single" w:sz="4"/>
              <w:bottom w:val="single" w:sz="4"/>
            </w:tcBorders>
            <w:vAlign w:val="top"/>
          </w:tcPr>
          <w:p>
            <w:pPr>
              <w:pStyle w:val="Style8"/>
              <w:framePr w:w="953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 xml:space="preserve">П </w:t>
            </w:r>
            <w:r>
              <w:rPr>
                <w:rStyle w:val="CharStyle14"/>
                <w:lang w:val="en-US" w:eastAsia="en-US" w:bidi="en-US"/>
              </w:rPr>
              <w:t>N002600</w:t>
            </w:r>
          </w:p>
        </w:tc>
      </w:tr>
    </w:tbl>
    <w:p>
      <w:pPr>
        <w:widowControl w:val="0"/>
        <w:rPr>
          <w:sz w:val="2"/>
          <w:szCs w:val="2"/>
        </w:rPr>
      </w:pPr>
    </w:p>
    <w:p>
      <w:pPr>
        <w:pStyle w:val="Style8"/>
        <w:widowControl w:val="0"/>
        <w:keepNext w:val="0"/>
        <w:keepLines w:val="0"/>
        <w:shd w:val="clear" w:color="auto" w:fill="auto"/>
        <w:bidi w:val="0"/>
        <w:spacing w:before="230" w:after="0" w:line="277" w:lineRule="exact"/>
        <w:ind w:left="40" w:right="20" w:firstLine="560"/>
      </w:pPr>
      <w:r>
        <w:rPr>
          <w:lang w:val="ru-RU" w:eastAsia="ru-RU" w:bidi="ru-RU"/>
          <w:w w:val="100"/>
          <w:spacing w:val="0"/>
          <w:color w:val="000000"/>
          <w:position w:val="0"/>
        </w:rPr>
        <w:t>Лекарственные препараты (МНН Йопромид) с торговыми наименованиями: Йопромид ТЛ и Йопромид - Биарвист в Государственном реестре предельных отпускных цен не зарегистрированы, в связи с чем, не могут быть предложены к поставке.</w:t>
      </w:r>
    </w:p>
    <w:p>
      <w:pPr>
        <w:pStyle w:val="Style8"/>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ходе анализа инструкций по применению лекарственного препарата (МНН Йопромид), установлено, что препараты с торговыми наименованиями «Йопромид ТР» и «Йопромид» не соответствуют условиям: Период выведения через почки в течении 12 часов не менее 93% от введенной дозы.</w:t>
      </w:r>
    </w:p>
    <w:p>
      <w:pPr>
        <w:pStyle w:val="Style8"/>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Таким образом, указанным в техническом задании требованиям соответствует единственный лекарственный препарат торгового наименования «Ультравист», производства Байер Шеринг Фарма АГ/Германия, что является ограничением количества участников.</w:t>
      </w:r>
    </w:p>
    <w:p>
      <w:pPr>
        <w:pStyle w:val="Style15"/>
        <w:widowControl w:val="0"/>
        <w:keepNext/>
        <w:keepLines/>
        <w:shd w:val="clear" w:color="auto" w:fill="auto"/>
        <w:bidi w:val="0"/>
        <w:spacing w:before="0" w:after="0"/>
        <w:ind w:left="40" w:right="20"/>
      </w:pPr>
      <w:bookmarkStart w:id="0" w:name="bookmark0"/>
      <w:r>
        <w:rPr>
          <w:lang w:val="ru-RU" w:eastAsia="ru-RU" w:bidi="ru-RU"/>
          <w:w w:val="100"/>
          <w:spacing w:val="0"/>
          <w:color w:val="000000"/>
          <w:position w:val="0"/>
        </w:rPr>
        <w:t>В ходе рассмотрения доводов Заявителя Комиссией Управления установлено следующее.</w:t>
      </w:r>
      <w:bookmarkEnd w:id="0"/>
    </w:p>
    <w:p>
      <w:pPr>
        <w:pStyle w:val="Style8"/>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pPr>
        <w:pStyle w:val="Style8"/>
        <w:widowControl w:val="0"/>
        <w:keepNext w:val="0"/>
        <w:keepLines w:val="0"/>
        <w:shd w:val="clear" w:color="auto" w:fill="auto"/>
        <w:bidi w:val="0"/>
        <w:spacing w:before="0" w:after="0" w:line="274" w:lineRule="exact"/>
        <w:ind w:left="40" w:right="20" w:firstLine="720"/>
        <w:sectPr>
          <w:type w:val="continuous"/>
          <w:pgSz w:w="11906" w:h="16838"/>
          <w:pgMar w:top="1199" w:left="1102" w:right="1093" w:bottom="1203" w:header="0" w:footer="3" w:gutter="0"/>
          <w:rtlGutter w:val="0"/>
          <w:cols w:space="720"/>
          <w:noEndnote/>
          <w:docGrid w:linePitch="360"/>
        </w:sectPr>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w:t>
      </w:r>
    </w:p>
    <w:p>
      <w:pPr>
        <w:pStyle w:val="Style8"/>
        <w:widowControl w:val="0"/>
        <w:keepNext w:val="0"/>
        <w:keepLines w:val="0"/>
        <w:shd w:val="clear" w:color="auto" w:fill="auto"/>
        <w:bidi w:val="0"/>
        <w:spacing w:before="0" w:after="0" w:line="274" w:lineRule="exact"/>
        <w:ind w:left="380" w:right="380" w:firstLine="0"/>
      </w:pPr>
      <w:r>
        <w:rPr>
          <w:lang w:val="ru-RU" w:eastAsia="ru-RU" w:bidi="ru-RU"/>
          <w:w w:val="100"/>
          <w:spacing w:val="0"/>
          <w:color w:val="000000"/>
          <w:position w:val="0"/>
        </w:rPr>
        <w:t>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8"/>
        <w:widowControl w:val="0"/>
        <w:keepNext w:val="0"/>
        <w:keepLines w:val="0"/>
        <w:shd w:val="clear" w:color="auto" w:fill="auto"/>
        <w:bidi w:val="0"/>
        <w:spacing w:before="0" w:after="0" w:line="274" w:lineRule="exact"/>
        <w:ind w:left="380" w:right="380" w:firstLine="72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поставка лекарственного препарата Йопромид (извещение №0387200002817000428) размещены на официальном сайте единой информационной системы 27.10.2017.</w:t>
      </w:r>
    </w:p>
    <w:p>
      <w:pPr>
        <w:pStyle w:val="Style8"/>
        <w:widowControl w:val="0"/>
        <w:keepNext w:val="0"/>
        <w:keepLines w:val="0"/>
        <w:shd w:val="clear" w:color="auto" w:fill="auto"/>
        <w:bidi w:val="0"/>
        <w:spacing w:before="0" w:after="0" w:line="274" w:lineRule="exact"/>
        <w:ind w:left="380" w:right="380" w:firstLine="720"/>
      </w:pPr>
      <w:r>
        <w:rPr>
          <w:lang w:val="ru-RU" w:eastAsia="ru-RU" w:bidi="ru-RU"/>
          <w:w w:val="100"/>
          <w:spacing w:val="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widowControl w:val="0"/>
        <w:keepNext w:val="0"/>
        <w:keepLines w:val="0"/>
        <w:shd w:val="clear" w:color="auto" w:fill="auto"/>
        <w:bidi w:val="0"/>
        <w:spacing w:before="0" w:after="0" w:line="274" w:lineRule="exact"/>
        <w:ind w:left="380" w:right="380" w:firstLine="720"/>
      </w:pPr>
      <w:r>
        <w:rPr>
          <w:lang w:val="ru-RU" w:eastAsia="ru-RU" w:bidi="ru-RU"/>
          <w:w w:val="100"/>
          <w:spacing w:val="0"/>
          <w:color w:val="000000"/>
          <w:position w:val="0"/>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8"/>
        <w:widowControl w:val="0"/>
        <w:keepNext w:val="0"/>
        <w:keepLines w:val="0"/>
        <w:shd w:val="clear" w:color="auto" w:fill="auto"/>
        <w:bidi w:val="0"/>
        <w:spacing w:before="0" w:after="0" w:line="274" w:lineRule="exact"/>
        <w:ind w:left="380" w:right="380" w:firstLine="72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8"/>
        <w:widowControl w:val="0"/>
        <w:keepNext w:val="0"/>
        <w:keepLines w:val="0"/>
        <w:shd w:val="clear" w:color="auto" w:fill="auto"/>
        <w:bidi w:val="0"/>
        <w:spacing w:before="0" w:after="245" w:line="274" w:lineRule="exact"/>
        <w:ind w:left="380" w:right="380" w:firstLine="720"/>
      </w:pPr>
      <w:r>
        <w:rPr>
          <w:lang w:val="ru-RU" w:eastAsia="ru-RU" w:bidi="ru-RU"/>
          <w:w w:val="100"/>
          <w:spacing w:val="0"/>
          <w:color w:val="000000"/>
          <w:position w:val="0"/>
        </w:rPr>
        <w:t>Проанализировав аукционную документацию, Комиссией Управления было установлено, что в техническом задании Заказчиком установлены следующие требования:</w:t>
      </w:r>
    </w:p>
    <w:tbl>
      <w:tblPr>
        <w:tblOverlap w:val="never"/>
        <w:tblLayout w:type="fixed"/>
        <w:jc w:val="center"/>
      </w:tblPr>
      <w:tblGrid>
        <w:gridCol w:w="720"/>
        <w:gridCol w:w="2714"/>
        <w:gridCol w:w="2693"/>
        <w:gridCol w:w="1001"/>
        <w:gridCol w:w="1145"/>
        <w:gridCol w:w="2149"/>
      </w:tblGrid>
      <w:tr>
        <w:trPr>
          <w:trHeight w:val="540" w:hRule="exact"/>
        </w:trPr>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14"/>
              </w:rPr>
              <w:t>№</w:t>
            </w:r>
          </w:p>
          <w:p>
            <w:pPr>
              <w:pStyle w:val="Style8"/>
              <w:framePr w:w="1042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14"/>
              </w:rPr>
              <w:t>п/п</w:t>
            </w:r>
          </w:p>
        </w:tc>
        <w:tc>
          <w:tcPr>
            <w:shd w:val="clear" w:color="auto" w:fill="FFFFFF"/>
            <w:gridSpan w:val="2"/>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Описание (характеристики) объекта закупки</w:t>
            </w:r>
          </w:p>
        </w:tc>
        <w:tc>
          <w:tcPr>
            <w:shd w:val="clear" w:color="auto" w:fill="FFFFFF"/>
            <w:vMerge w:val="restart"/>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Ед. изм.</w:t>
            </w:r>
          </w:p>
        </w:tc>
        <w:tc>
          <w:tcPr>
            <w:shd w:val="clear" w:color="auto" w:fill="FFFFFF"/>
            <w:vMerge w:val="restart"/>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Кол-во</w:t>
            </w:r>
          </w:p>
        </w:tc>
        <w:tc>
          <w:tcPr>
            <w:shd w:val="clear" w:color="auto" w:fill="FFFFFF"/>
            <w:vMerge w:val="restart"/>
            <w:tcBorders>
              <w:left w:val="single" w:sz="4"/>
              <w:right w:val="single" w:sz="4"/>
              <w:top w:val="single" w:sz="4"/>
            </w:tcBorders>
            <w:vAlign w:val="top"/>
          </w:tcPr>
          <w:p>
            <w:pPr>
              <w:pStyle w:val="Style8"/>
              <w:framePr w:w="1042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Наименование страны происхождения товара*</w:t>
            </w:r>
          </w:p>
        </w:tc>
      </w:tr>
      <w:tr>
        <w:trPr>
          <w:trHeight w:val="1447" w:hRule="exact"/>
        </w:trPr>
        <w:tc>
          <w:tcPr>
            <w:shd w:val="clear" w:color="auto" w:fill="FFFFFF"/>
            <w:tcBorders>
              <w:left w:val="single" w:sz="4"/>
              <w:top w:val="single" w:sz="4"/>
            </w:tcBorders>
            <w:vAlign w:val="top"/>
          </w:tcPr>
          <w:p>
            <w:pPr>
              <w:framePr w:w="10422"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МНН, химическое, группировочное наименование</w:t>
            </w:r>
          </w:p>
        </w:tc>
        <w:tc>
          <w:tcPr>
            <w:shd w:val="clear" w:color="auto" w:fill="FFFFFF"/>
            <w:tcBorders>
              <w:left w:val="single" w:sz="4"/>
              <w:top w:val="single" w:sz="4"/>
            </w:tcBorders>
            <w:vAlign w:val="top"/>
          </w:tcPr>
          <w:p>
            <w:pPr>
              <w:pStyle w:val="Style8"/>
              <w:framePr w:w="10422"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14"/>
              </w:rPr>
              <w:t>Функциональные, качественные характеристики, лекарственная форма, дозировка, комплектность, требования к упаковке</w:t>
            </w:r>
          </w:p>
        </w:tc>
        <w:tc>
          <w:tcPr>
            <w:shd w:val="clear" w:color="auto" w:fill="FFFFFF"/>
            <w:vMerge/>
            <w:tcBorders>
              <w:left w:val="single" w:sz="4"/>
            </w:tcBorders>
            <w:vAlign w:val="center"/>
          </w:tcPr>
          <w:p>
            <w:pPr>
              <w:framePr w:w="10422" w:wrap="notBeside" w:vAnchor="text" w:hAnchor="text" w:xAlign="center" w:y="1"/>
            </w:pPr>
          </w:p>
        </w:tc>
        <w:tc>
          <w:tcPr>
            <w:shd w:val="clear" w:color="auto" w:fill="FFFFFF"/>
            <w:vMerge/>
            <w:tcBorders>
              <w:left w:val="single" w:sz="4"/>
            </w:tcBorders>
            <w:vAlign w:val="center"/>
          </w:tcPr>
          <w:p>
            <w:pPr>
              <w:framePr w:w="10422" w:wrap="notBeside" w:vAnchor="text" w:hAnchor="text" w:xAlign="center" w:y="1"/>
            </w:pPr>
          </w:p>
        </w:tc>
        <w:tc>
          <w:tcPr>
            <w:shd w:val="clear" w:color="auto" w:fill="FFFFFF"/>
            <w:vMerge/>
            <w:tcBorders>
              <w:left w:val="single" w:sz="4"/>
              <w:right w:val="single" w:sz="4"/>
            </w:tcBorders>
            <w:vAlign w:val="top"/>
          </w:tcPr>
          <w:p>
            <w:pPr>
              <w:framePr w:w="10422" w:wrap="notBeside" w:vAnchor="text" w:hAnchor="text" w:xAlign="center" w:y="1"/>
            </w:pPr>
          </w:p>
        </w:tc>
      </w:tr>
      <w:tr>
        <w:trPr>
          <w:trHeight w:val="295" w:hRule="exact"/>
        </w:trPr>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1</w:t>
            </w:r>
          </w:p>
        </w:tc>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2</w:t>
            </w:r>
          </w:p>
        </w:tc>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3</w:t>
            </w:r>
          </w:p>
        </w:tc>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4</w:t>
            </w:r>
          </w:p>
        </w:tc>
        <w:tc>
          <w:tcPr>
            <w:shd w:val="clear" w:color="auto" w:fill="FFFFFF"/>
            <w:tcBorders>
              <w:lef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5</w:t>
            </w:r>
          </w:p>
        </w:tc>
        <w:tc>
          <w:tcPr>
            <w:shd w:val="clear" w:color="auto" w:fill="FFFFFF"/>
            <w:tcBorders>
              <w:left w:val="single" w:sz="4"/>
              <w:right w:val="single" w:sz="4"/>
              <w:top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6</w:t>
            </w:r>
          </w:p>
        </w:tc>
      </w:tr>
      <w:tr>
        <w:trPr>
          <w:trHeight w:val="479" w:hRule="exact"/>
        </w:trPr>
        <w:tc>
          <w:tcPr>
            <w:shd w:val="clear" w:color="auto" w:fill="FFFFFF"/>
            <w:tcBorders>
              <w:left w:val="single" w:sz="4"/>
              <w:top w:val="single" w:sz="4"/>
              <w:bottom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1</w:t>
            </w:r>
          </w:p>
        </w:tc>
        <w:tc>
          <w:tcPr>
            <w:shd w:val="clear" w:color="auto" w:fill="FFFFFF"/>
            <w:tcBorders>
              <w:left w:val="single" w:sz="4"/>
              <w:top w:val="single" w:sz="4"/>
              <w:bottom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Йопромид</w:t>
            </w:r>
          </w:p>
        </w:tc>
        <w:tc>
          <w:tcPr>
            <w:shd w:val="clear" w:color="auto" w:fill="FFFFFF"/>
            <w:tcBorders>
              <w:left w:val="single" w:sz="4"/>
              <w:top w:val="single" w:sz="4"/>
              <w:bottom w:val="single" w:sz="4"/>
            </w:tcBorders>
            <w:vAlign w:val="bottom"/>
          </w:tcPr>
          <w:p>
            <w:pPr>
              <w:pStyle w:val="Style8"/>
              <w:framePr w:w="10422" w:wrap="notBeside" w:vAnchor="text" w:hAnchor="text" w:xAlign="center" w:y="1"/>
              <w:widowControl w:val="0"/>
              <w:keepNext w:val="0"/>
              <w:keepLines w:val="0"/>
              <w:shd w:val="clear" w:color="auto" w:fill="auto"/>
              <w:bidi w:val="0"/>
              <w:jc w:val="center"/>
              <w:spacing w:before="0" w:after="0" w:line="234" w:lineRule="exact"/>
              <w:ind w:left="0" w:right="0" w:firstLine="0"/>
            </w:pPr>
            <w:r>
              <w:rPr>
                <w:rStyle w:val="CharStyle14"/>
              </w:rPr>
              <w:t>раствор для инъекций 300 мг йода/мл 500 мл №8.</w:t>
            </w:r>
          </w:p>
        </w:tc>
        <w:tc>
          <w:tcPr>
            <w:shd w:val="clear" w:color="auto" w:fill="FFFFFF"/>
            <w:tcBorders>
              <w:left w:val="single" w:sz="4"/>
              <w:top w:val="single" w:sz="4"/>
              <w:bottom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Уп.</w:t>
            </w:r>
          </w:p>
        </w:tc>
        <w:tc>
          <w:tcPr>
            <w:shd w:val="clear" w:color="auto" w:fill="FFFFFF"/>
            <w:tcBorders>
              <w:left w:val="single" w:sz="4"/>
              <w:top w:val="single" w:sz="4"/>
              <w:bottom w:val="single" w:sz="4"/>
            </w:tcBorders>
            <w:vAlign w:val="center"/>
          </w:tcPr>
          <w:p>
            <w:pPr>
              <w:pStyle w:val="Style8"/>
              <w:framePr w:w="1042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4"/>
              </w:rPr>
              <w:t>70</w:t>
            </w:r>
          </w:p>
        </w:tc>
        <w:tc>
          <w:tcPr>
            <w:shd w:val="clear" w:color="auto" w:fill="FFFFFF"/>
            <w:tcBorders>
              <w:left w:val="single" w:sz="4"/>
              <w:right w:val="single" w:sz="4"/>
              <w:top w:val="single" w:sz="4"/>
              <w:bottom w:val="single" w:sz="4"/>
            </w:tcBorders>
            <w:vAlign w:val="top"/>
          </w:tcPr>
          <w:p>
            <w:pPr>
              <w:framePr w:w="10422"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720"/>
        <w:gridCol w:w="2714"/>
        <w:gridCol w:w="2689"/>
        <w:gridCol w:w="997"/>
        <w:gridCol w:w="1141"/>
        <w:gridCol w:w="2156"/>
      </w:tblGrid>
      <w:tr>
        <w:trPr>
          <w:trHeight w:val="1026" w:hRule="exact"/>
        </w:trPr>
        <w:tc>
          <w:tcPr>
            <w:shd w:val="clear" w:color="auto" w:fill="FFFFFF"/>
            <w:tcBorders>
              <w:left w:val="single" w:sz="4"/>
              <w:top w:val="single" w:sz="4"/>
              <w:bottom w:val="single" w:sz="4"/>
            </w:tcBorders>
            <w:vAlign w:val="top"/>
          </w:tcPr>
          <w:p>
            <w:pPr>
              <w:framePr w:w="1041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41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8"/>
              <w:framePr w:w="10418"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14"/>
              </w:rPr>
              <w:t>Период выведения через почки в течение 12 часов не менее 93% от введенной дозы.</w:t>
            </w:r>
          </w:p>
        </w:tc>
        <w:tc>
          <w:tcPr>
            <w:shd w:val="clear" w:color="auto" w:fill="FFFFFF"/>
            <w:tcBorders>
              <w:left w:val="single" w:sz="4"/>
              <w:top w:val="single" w:sz="4"/>
              <w:bottom w:val="single" w:sz="4"/>
            </w:tcBorders>
            <w:vAlign w:val="top"/>
          </w:tcPr>
          <w:p>
            <w:pPr>
              <w:framePr w:w="10418"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418"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8"/>
              <w:framePr w:w="10418" w:wrap="notBeside" w:vAnchor="text" w:hAnchor="text" w:xAlign="center" w:y="1"/>
              <w:widowControl w:val="0"/>
              <w:keepNext w:val="0"/>
              <w:keepLines w:val="0"/>
              <w:shd w:val="clear" w:color="auto" w:fill="auto"/>
              <w:bidi w:val="0"/>
              <w:jc w:val="right"/>
              <w:spacing w:before="0" w:after="0" w:line="180" w:lineRule="exact"/>
              <w:ind w:left="0" w:right="20" w:firstLine="0"/>
            </w:pPr>
            <w:r>
              <w:rPr>
                <w:rStyle w:val="CharStyle14"/>
              </w:rPr>
              <w:t>1</w:t>
            </w:r>
          </w:p>
          <w:p>
            <w:pPr>
              <w:pStyle w:val="Style8"/>
              <w:framePr w:w="10418" w:wrap="notBeside" w:vAnchor="text" w:hAnchor="text" w:xAlign="center" w:y="1"/>
              <w:widowControl w:val="0"/>
              <w:keepNext w:val="0"/>
              <w:keepLines w:val="0"/>
              <w:shd w:val="clear" w:color="auto" w:fill="auto"/>
              <w:bidi w:val="0"/>
              <w:jc w:val="right"/>
              <w:spacing w:before="0" w:after="360" w:line="400" w:lineRule="exact"/>
              <w:ind w:left="0" w:right="20" w:firstLine="0"/>
            </w:pPr>
            <w:r>
              <w:rPr>
                <w:rStyle w:val="CharStyle19"/>
              </w:rPr>
              <w:t>1</w:t>
            </w:r>
          </w:p>
          <w:p>
            <w:pPr>
              <w:pStyle w:val="Style8"/>
              <w:framePr w:w="10418" w:wrap="notBeside" w:vAnchor="text" w:hAnchor="text" w:xAlign="center" w:y="1"/>
              <w:tabs>
                <w:tab w:leader="hyphen" w:pos="1606" w:val="left"/>
              </w:tabs>
              <w:widowControl w:val="0"/>
              <w:keepNext w:val="0"/>
              <w:keepLines w:val="0"/>
              <w:shd w:val="clear" w:color="auto" w:fill="auto"/>
              <w:bidi w:val="0"/>
              <w:spacing w:before="360" w:after="0" w:line="200" w:lineRule="exact"/>
              <w:ind w:left="0" w:right="0" w:firstLine="0"/>
            </w:pPr>
            <w:r>
              <w:rPr>
                <w:rStyle w:val="CharStyle20"/>
                <w:lang w:val="ru-RU" w:eastAsia="ru-RU" w:bidi="ru-RU"/>
              </w:rPr>
              <w:tab/>
            </w:r>
            <w:r>
              <w:rPr>
                <w:rStyle w:val="CharStyle14"/>
                <w:lang w:val="en-US" w:eastAsia="en-US" w:bidi="en-US"/>
              </w:rPr>
              <w:t>j</w:t>
            </w:r>
          </w:p>
        </w:tc>
      </w:tr>
    </w:tbl>
    <w:p>
      <w:pPr>
        <w:pStyle w:val="Style17"/>
        <w:framePr w:w="10418"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В случае установления в спецификации (техническом задании) требования к конкретному количеству единиц поставки продукции в одной упаковке, участник имеет право предложить иные условия поставки единиц продукции в одной упаковке, но при условии сохранения не менее общего объема закупаемой продукции.</w:t>
      </w:r>
    </w:p>
    <w:p>
      <w:pPr>
        <w:widowControl w:val="0"/>
        <w:rPr>
          <w:sz w:val="2"/>
          <w:szCs w:val="2"/>
        </w:rPr>
      </w:pPr>
    </w:p>
    <w:p>
      <w:pPr>
        <w:pStyle w:val="Style8"/>
        <w:tabs>
          <w:tab w:leader="none" w:pos="3453" w:val="right"/>
          <w:tab w:leader="none" w:pos="4140" w:val="left"/>
          <w:tab w:leader="none" w:pos="6765" w:val="right"/>
          <w:tab w:leader="none" w:pos="8835" w:val="right"/>
          <w:tab w:leader="none" w:pos="10066" w:val="right"/>
        </w:tabs>
        <w:widowControl w:val="0"/>
        <w:keepNext w:val="0"/>
        <w:keepLines w:val="0"/>
        <w:shd w:val="clear" w:color="auto" w:fill="auto"/>
        <w:bidi w:val="0"/>
        <w:spacing w:before="190" w:after="0" w:line="274" w:lineRule="exact"/>
        <w:ind w:left="400" w:right="360" w:firstLine="720"/>
      </w:pPr>
      <w:r>
        <w:rPr>
          <w:lang w:val="ru-RU" w:eastAsia="ru-RU" w:bidi="ru-RU"/>
          <w:w w:val="100"/>
          <w:spacing w:val="0"/>
          <w:color w:val="000000"/>
          <w:position w:val="0"/>
        </w:rPr>
        <w:t>Проанализировав информацию, содержащуюся в Государственном реестре лекарственных</w:t>
        <w:tab/>
        <w:t>средств,</w:t>
        <w:tab/>
        <w:t>опубликованном</w:t>
        <w:tab/>
        <w:t>на</w:t>
        <w:tab/>
        <w:t>официальном</w:t>
        <w:tab/>
        <w:t>сайте</w:t>
      </w:r>
    </w:p>
    <w:p>
      <w:pPr>
        <w:pStyle w:val="Style8"/>
        <w:tabs>
          <w:tab w:leader="none" w:pos="7143" w:val="left"/>
        </w:tabs>
        <w:widowControl w:val="0"/>
        <w:keepNext w:val="0"/>
        <w:keepLines w:val="0"/>
        <w:shd w:val="clear" w:color="auto" w:fill="auto"/>
        <w:bidi w:val="0"/>
        <w:spacing w:before="0" w:after="0" w:line="274" w:lineRule="exact"/>
        <w:ind w:left="400" w:right="0" w:firstLine="0"/>
      </w:pPr>
      <w:r>
        <w:fldChar w:fldCharType="begin"/>
      </w:r>
      <w:r>
        <w:rPr>
          <w:color w:val="000000"/>
        </w:rPr>
        <w:instrText> HYPERLINK "http://grls.rosminzdrav.ru/grls.aspx" </w:instrText>
      </w:r>
      <w:r>
        <w:fldChar w:fldCharType="separate"/>
      </w:r>
      <w:r>
        <w:rPr>
          <w:rStyle w:val="Hyperlink"/>
          <w:lang w:val="en-US" w:eastAsia="en-US" w:bidi="en-US"/>
          <w:w w:val="100"/>
          <w:spacing w:val="0"/>
          <w:position w:val="0"/>
        </w:rPr>
        <w:t>http://grls.rosminzdrav.ru/grls.aspx</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Комиссией Управления</w:t>
        <w:tab/>
        <w:t>было установлено, что</w:t>
      </w:r>
    </w:p>
    <w:p>
      <w:pPr>
        <w:pStyle w:val="Style8"/>
        <w:widowControl w:val="0"/>
        <w:keepNext w:val="0"/>
        <w:keepLines w:val="0"/>
        <w:shd w:val="clear" w:color="auto" w:fill="auto"/>
        <w:bidi w:val="0"/>
        <w:spacing w:before="0" w:after="0" w:line="274" w:lineRule="exact"/>
        <w:ind w:left="400" w:right="360" w:firstLine="0"/>
      </w:pPr>
      <w:r>
        <w:rPr>
          <w:lang w:val="ru-RU" w:eastAsia="ru-RU" w:bidi="ru-RU"/>
          <w:w w:val="100"/>
          <w:spacing w:val="0"/>
          <w:color w:val="000000"/>
          <w:position w:val="0"/>
        </w:rPr>
        <w:t>требованиям установленным в техническом задании соответствуют три лекарственных препарат, зарегистрированных и разрешенных к применению на территории Российской Федерации:</w:t>
      </w:r>
    </w:p>
    <w:p>
      <w:pPr>
        <w:pStyle w:val="Style8"/>
        <w:numPr>
          <w:ilvl w:val="0"/>
          <w:numId w:val="1"/>
        </w:numPr>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 xml:space="preserve"> ТН «Йопромид</w:t>
      </w:r>
      <w:r>
        <w:rPr>
          <w:lang w:val="en-US" w:eastAsia="en-US" w:bidi="en-US"/>
          <w:w w:val="100"/>
          <w:spacing w:val="0"/>
          <w:color w:val="000000"/>
          <w:position w:val="0"/>
        </w:rPr>
        <w:t xml:space="preserve">-TJI» </w:t>
      </w:r>
      <w:r>
        <w:rPr>
          <w:lang w:val="ru-RU" w:eastAsia="ru-RU" w:bidi="ru-RU"/>
          <w:w w:val="100"/>
          <w:spacing w:val="0"/>
          <w:color w:val="000000"/>
          <w:position w:val="0"/>
        </w:rPr>
        <w:t>производитель ФГУП НПЦ «Фармзащита» ФМБА России ( РУ № ЛП-004328 от 06.06.2017);</w:t>
      </w:r>
    </w:p>
    <w:p>
      <w:pPr>
        <w:pStyle w:val="Style8"/>
        <w:numPr>
          <w:ilvl w:val="0"/>
          <w:numId w:val="1"/>
        </w:numPr>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 xml:space="preserve"> ТН Йопромид-Биарвист производитель ООО «АЛВИС» (РУ № ЛП-003696 от 21.06.2016);</w:t>
      </w:r>
    </w:p>
    <w:p>
      <w:pPr>
        <w:pStyle w:val="Style8"/>
        <w:numPr>
          <w:ilvl w:val="0"/>
          <w:numId w:val="1"/>
        </w:numPr>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 xml:space="preserve"> ТН Ультравист производитель Байер Фарма АГ, Германия (РУ № П1М002600 от 11.12.2014).</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В соответствии со ст.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Заказчик, формируя данные требования к характеристикам товара, определил свои потребности с учетом специфики своей деятельности и имеющейся потребности в закупке необходимых лекарственных средств.</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Заказчик, формируя данные требования к характеристикам товара "Период выведения через почки в течение 12 часов не менее 93% от введенной дозы", определил свои потребности с учетом специфики своей деятельности и имеющейся потребности в закупке необходимых лекарственных средств.</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Пунктом 2 статьи 4 Федерального закона от 21.11.2011 №323-Ф3 "Об основах охраны здоровья граждан в Российской Федерации" установлено, что одним из основных принципов охраны здоровья является приоритет интересов пациента при оказании медицинской помощи.</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Оборот лекарственных средств на территории Российской Федерации регулируется Федеральным законом от 12.04.2010 №61-ФЗ "Об обращении лекарственных средств" (далее - Закон об обращении лекарственных средств).</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Согласно части 1 статьи 13 Закона об обращении лекарственных средств лекарственные препараты вводятся в гражданский оборот на территории Российской Федерации, если они зарегистрированы соответствующим уполномоченным федеральным органом исполнительной власти.</w:t>
      </w:r>
    </w:p>
    <w:p>
      <w:pPr>
        <w:pStyle w:val="Style8"/>
        <w:widowControl w:val="0"/>
        <w:keepNext w:val="0"/>
        <w:keepLines w:val="0"/>
        <w:shd w:val="clear" w:color="auto" w:fill="auto"/>
        <w:bidi w:val="0"/>
        <w:spacing w:before="0" w:after="0" w:line="274" w:lineRule="exact"/>
        <w:ind w:left="400" w:right="360" w:firstLine="720"/>
      </w:pPr>
      <w:r>
        <w:rPr>
          <w:lang w:val="ru-RU" w:eastAsia="ru-RU" w:bidi="ru-RU"/>
          <w:w w:val="100"/>
          <w:spacing w:val="0"/>
          <w:color w:val="000000"/>
          <w:position w:val="0"/>
        </w:rPr>
        <w:t>МНН Йопромид является рентгеноконтрастным веществом. Применение контрастных препаратов при вышеуказанных диагностических исследованиях позволяет повысить</w:t>
      </w:r>
    </w:p>
    <w:p>
      <w:pPr>
        <w:pStyle w:val="Style8"/>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качество диагностики за счет разницы в характере накопления контрастного препарата патологическими очаговыми образованиями в органах и тканях, благодаря наличию в его составе молекулы йода, повышается плотность тканей, улучшается визуализация более тонких структур, повышается четкость изображения, что позволяет эффективно диагностировать какое-либо нарушение или отклонение от нормы.</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БУ "Окружная клиническая больница" пациентам перед началом химио, лучевого или оперативного лечения проводится несколько обязательных КТ-исследований с внутривенным введением контрастных веществ для исключения отдаленных метастазов в другие органы (КТ органов грудной полости, КТ органов брюшной полости, забрюшинного пространства, малого таза, головного мозга). Исследования должны быть выполнены в короткие сроки в полном объеме. Для повторного контрастирования через короткие промежутки времени важно применение препарата с коротким периодом выведения полученной дозы препарата. Нередки случае проведения двух КТ одному пациенту в течение 24 часов: до и после операции соответственно. Достаточно часто онкологические заболевания протекают на фоне других болезней: различных аутоиммунных заболеваний, гепатитов, ВИЧ-ифекции, алкоголизма, сахарного диабета, бронхиальной астмы, болезней почек и т.д. Повторные введения через короткие промежутки времени контрастного вещества с длительным периодом выведения его из организма увеличивают риск возникновения реакций гиперчувствительности со стороны кожи, сердечно-сосудистой и дыхательной систем и ведут к появлению более серьезных реакций на последующее введение контрастных средств, таких, как остановка дыхания, остановка сердечной деятельности, судороги и развитие почечной недостаточности или в последующем контрастиндуцированной нефропатии.</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Требуемая характеристика "Период выведения через почки в течение 12 часов не менее 93% от введенной дозы" является необходимой в связи с тем, что все контрастные вещества могут иметь нефротоксический эффект вследствие прямого токсичного влияния на клетки почечных канальцев и развития ишемии мозгового вещества почек, поэтому очевидно, что фармакокинетика препарата влияет на безопасность пациента, увеличение времени полувыведения контрастного препарата - это дополнительный риск возникновения контраст-индуцированной нефропатии, поэтому в техническом задании указан крайне важный параметр с точки зрения безопасности пациента. Таким образом, чем быстрее выводится препарат через почки, тем более безопасной является диагностика. Иное время выведения йопромида через почки, указанное в инструкции по медицинскому применению, может иметь принципиальное значение не для времени выполнения снимков, в этом вопросе имеются абсолютно одинаковые инструкции для всех препаратов группы Йопромид, а для:</w:t>
      </w:r>
    </w:p>
    <w:p>
      <w:pPr>
        <w:pStyle w:val="Style8"/>
        <w:numPr>
          <w:ilvl w:val="0"/>
          <w:numId w:val="1"/>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определения времени повторного введения контрастного средства в течение одних суток при возникшей клинической необходимости;</w:t>
      </w:r>
    </w:p>
    <w:p>
      <w:pPr>
        <w:pStyle w:val="Style8"/>
        <w:numPr>
          <w:ilvl w:val="0"/>
          <w:numId w:val="1"/>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уменьшения риска лекарственных взаимодействий.</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Доказательств того, что установленные требования Заказчика и Уполномоченного органа ограничили в участии в аукционе, Заявителем не предоставлено. Отсутствие товара с необходимыми характеристиками у участника закупки не может являться признаком ограничения круга участников закупки.</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нарушение части 9 статьи 105 Закона о контрактной системе Заявителем не представлено документальных подтверждений обоснованности вышеприведенного довода, в том числе, в части невозможности подготовки заявки на участие в аукционе, ограничения количества участников закупки, а также невозможность предложения участником закупки лекарственного препарата, не зарегистрированного в реестре предельных отпускных цен.</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Комиссией Управления в действиях Заказчика нарушения Закона о контрактной системе не установлены.</w:t>
      </w:r>
    </w:p>
    <w:p>
      <w:pPr>
        <w:pStyle w:val="Style8"/>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Доводы Заявителя об идентичности показателей в разделе "Выведение" инструкций по применению препаратов ТН Йопромид и ТН Ультравист не находят своего подтверждения, поскольку инструкциями к вышеуказанным лекарственным препаратам четко установлен период выведения: ТН Йопромид - выводится через почки 92% от введенной дозы в течение 24 часов, ТН Ультравист- выводится через почки 93% от введенной дозы в течение 12 часов.</w:t>
      </w:r>
    </w:p>
    <w:p>
      <w:pPr>
        <w:pStyle w:val="Style8"/>
        <w:widowControl w:val="0"/>
        <w:keepNext w:val="0"/>
        <w:keepLines w:val="0"/>
        <w:shd w:val="clear" w:color="auto" w:fill="auto"/>
        <w:bidi w:val="0"/>
        <w:spacing w:before="0" w:after="215" w:line="274" w:lineRule="exact"/>
        <w:ind w:left="20" w:right="20" w:firstLine="72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spacing w:before="0" w:after="124" w:line="230" w:lineRule="exact"/>
        <w:ind w:left="0" w:right="0" w:firstLine="0"/>
      </w:pPr>
      <w:r>
        <w:rPr>
          <w:lang w:val="ru-RU" w:eastAsia="ru-RU" w:bidi="ru-RU"/>
          <w:w w:val="100"/>
          <w:spacing w:val="0"/>
          <w:color w:val="000000"/>
          <w:position w:val="0"/>
        </w:rPr>
        <w:t>решила:</w:t>
      </w:r>
    </w:p>
    <w:p>
      <w:pPr>
        <w:pStyle w:val="Style8"/>
        <w:numPr>
          <w:ilvl w:val="0"/>
          <w:numId w:val="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Признать жалобу ООО «ТОРГОВЫЙ ДОМ «ВИАЛ» от 03.11.2017 №1714-ж на действия Заказчика - Бюджетное учреждение Ханты-Мансийского автономного округа - Югры «Окружная клиническая больница» при проведении электронного аукциона, предметом которого является поставка лекарственного препарата Йопромид (извещение № 0387200002817000428)необоснованной.</w:t>
      </w:r>
    </w:p>
    <w:p>
      <w:pPr>
        <w:pStyle w:val="Style8"/>
        <w:numPr>
          <w:ilvl w:val="0"/>
          <w:numId w:val="3"/>
        </w:numPr>
        <w:widowControl w:val="0"/>
        <w:keepNext w:val="0"/>
        <w:keepLines w:val="0"/>
        <w:shd w:val="clear" w:color="auto" w:fill="auto"/>
        <w:bidi w:val="0"/>
        <w:spacing w:before="0" w:after="215" w:line="274" w:lineRule="exact"/>
        <w:ind w:left="20" w:right="2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8"/>
        <w:widowControl w:val="0"/>
        <w:keepNext w:val="0"/>
        <w:keepLines w:val="0"/>
        <w:shd w:val="clear" w:color="auto" w:fill="auto"/>
        <w:bidi w:val="0"/>
        <w:jc w:val="left"/>
        <w:spacing w:before="0" w:after="292" w:line="230" w:lineRule="exact"/>
        <w:ind w:left="2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1046" w:line="230" w:lineRule="exact"/>
        <w:ind w:left="20" w:right="0" w:firstLine="0"/>
      </w:pPr>
      <w:r>
        <w:rPr>
          <w:lang w:val="ru-RU" w:eastAsia="ru-RU" w:bidi="ru-RU"/>
          <w:w w:val="100"/>
          <w:spacing w:val="0"/>
          <w:color w:val="000000"/>
          <w:position w:val="0"/>
        </w:rPr>
        <w:t>Члены Комиссии:</w:t>
      </w:r>
    </w:p>
    <w:p>
      <w:pPr>
        <w:pStyle w:val="Style21"/>
        <w:widowControl w:val="0"/>
        <w:keepNext w:val="0"/>
        <w:keepLines w:val="0"/>
        <w:shd w:val="clear" w:color="auto" w:fill="auto"/>
        <w:bidi w:val="0"/>
        <w:spacing w:before="0" w:after="0"/>
        <w:ind w:left="20" w:right="20"/>
      </w:pPr>
      <w:r>
        <w:rPr>
          <w:lang w:val="ru-RU" w:eastAsia="ru-RU" w:bidi="ru-RU"/>
          <w:w w:val="100"/>
          <w:spacing w:val="0"/>
          <w:color w:val="000000"/>
          <w:position w:val="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sectPr>
      <w:type w:val="continuous"/>
      <w:pgSz w:w="11906" w:h="16838"/>
      <w:pgMar w:top="1154" w:left="753" w:right="724" w:bottom="11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3)"/>
    <w:basedOn w:val="CharStyle6"/>
    <w:rPr>
      <w:lang w:val="en-US" w:eastAsia="en-US" w:bidi="en-US"/>
      <w:u w:val="single"/>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 19 pt,Полужирный,Курсив,Интервал -1 pt"/>
    <w:basedOn w:val="CharStyle9"/>
    <w:rPr>
      <w:lang w:val="en-US" w:eastAsia="en-US" w:bidi="en-US"/>
      <w:b/>
      <w:bCs/>
      <w:i/>
      <w:iCs/>
      <w:u w:val="single"/>
      <w:sz w:val="38"/>
      <w:szCs w:val="38"/>
      <w:w w:val="100"/>
      <w:spacing w:val="-30"/>
      <w:color w:val="000000"/>
      <w:position w:val="0"/>
    </w:rPr>
  </w:style>
  <w:style w:type="character" w:customStyle="1" w:styleId="CharStyle11">
    <w:name w:val="Основной текст"/>
    <w:basedOn w:val="CharStyle9"/>
    <w:rPr>
      <w:lang w:val="ru-RU" w:eastAsia="ru-RU" w:bidi="ru-RU"/>
      <w:u w:val="single"/>
      <w:w w:val="100"/>
      <w:spacing w:val="0"/>
      <w:color w:val="000000"/>
      <w:position w:val="0"/>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 Полужирный"/>
    <w:basedOn w:val="CharStyle9"/>
    <w:rPr>
      <w:lang w:val="ru-RU" w:eastAsia="ru-RU" w:bidi="ru-RU"/>
      <w:b/>
      <w:bCs/>
      <w:w w:val="100"/>
      <w:spacing w:val="0"/>
      <w:color w:val="000000"/>
      <w:position w:val="0"/>
    </w:rPr>
  </w:style>
  <w:style w:type="character" w:customStyle="1" w:styleId="CharStyle14">
    <w:name w:val="Основной текст + 9 pt"/>
    <w:basedOn w:val="CharStyle9"/>
    <w:rPr>
      <w:lang w:val="ru-RU" w:eastAsia="ru-RU" w:bidi="ru-RU"/>
      <w:sz w:val="18"/>
      <w:szCs w:val="18"/>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sz w:val="23"/>
      <w:szCs w:val="23"/>
      <w:rFonts w:ascii="Times New Roman" w:eastAsia="Times New Roman" w:hAnsi="Times New Roman" w:cs="Times New Roman"/>
    </w:rPr>
  </w:style>
  <w:style w:type="character" w:customStyle="1" w:styleId="CharStyle18">
    <w:name w:val="Подпись к таблице_"/>
    <w:basedOn w:val="DefaultParagraphFont"/>
    <w:link w:val="Style17"/>
    <w:rPr>
      <w:b w:val="0"/>
      <w:bCs w:val="0"/>
      <w:i w:val="0"/>
      <w:iCs w:val="0"/>
      <w:u w:val="none"/>
      <w:strike w:val="0"/>
      <w:smallCaps w:val="0"/>
      <w:sz w:val="14"/>
      <w:szCs w:val="14"/>
      <w:rFonts w:ascii="Times New Roman" w:eastAsia="Times New Roman" w:hAnsi="Times New Roman" w:cs="Times New Roman"/>
    </w:rPr>
  </w:style>
  <w:style w:type="character" w:customStyle="1" w:styleId="CharStyle19">
    <w:name w:val="Основной текст + 20 pt"/>
    <w:basedOn w:val="CharStyle9"/>
    <w:rPr>
      <w:lang w:val="ru-RU" w:eastAsia="ru-RU" w:bidi="ru-RU"/>
      <w:sz w:val="40"/>
      <w:szCs w:val="40"/>
      <w:w w:val="100"/>
      <w:spacing w:val="0"/>
      <w:color w:val="000000"/>
      <w:position w:val="0"/>
    </w:rPr>
  </w:style>
  <w:style w:type="character" w:customStyle="1" w:styleId="CharStyle20">
    <w:name w:val="Основной текст + 10 pt"/>
    <w:basedOn w:val="CharStyle9"/>
    <w:rPr>
      <w:lang w:val="1024"/>
      <w:sz w:val="20"/>
      <w:szCs w:val="20"/>
      <w:w w:val="100"/>
      <w:spacing w:val="0"/>
      <w:color w:val="000000"/>
      <w:position w:val="0"/>
    </w:rPr>
  </w:style>
  <w:style w:type="character" w:customStyle="1" w:styleId="CharStyle22">
    <w:name w:val="Основной текст (4)_"/>
    <w:basedOn w:val="DefaultParagraphFont"/>
    <w:link w:val="Style21"/>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6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240" w:line="22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jc w:val="both"/>
      <w:outlineLvl w:val="0"/>
      <w:spacing w:before="240" w:line="274" w:lineRule="exact"/>
      <w:ind w:firstLine="720"/>
    </w:pPr>
    <w:rPr>
      <w:b/>
      <w:bCs/>
      <w:i w:val="0"/>
      <w:iCs w:val="0"/>
      <w:u w:val="none"/>
      <w:strike w:val="0"/>
      <w:smallCaps w:val="0"/>
      <w:sz w:val="23"/>
      <w:szCs w:val="23"/>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jc w:val="both"/>
      <w:spacing w:line="184" w:lineRule="exact"/>
      <w:ind w:firstLine="720"/>
    </w:pPr>
    <w:rPr>
      <w:b w:val="0"/>
      <w:bCs w:val="0"/>
      <w:i w:val="0"/>
      <w:iCs w:val="0"/>
      <w:u w:val="none"/>
      <w:strike w:val="0"/>
      <w:smallCaps w:val="0"/>
      <w:sz w:val="14"/>
      <w:szCs w:val="14"/>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jc w:val="both"/>
      <w:spacing w:before="1140" w:line="248" w:lineRule="exact"/>
      <w:ind w:firstLine="72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