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79" w:after="0"/>
        <w:ind w:left="600" w:right="0" w:firstLine="0"/>
      </w:pPr>
      <w:r>
        <w:rPr>
          <w:lang w:val="ru-RU" w:eastAsia="ru-RU" w:bidi="ru-RU"/>
          <w:w w:val="100"/>
          <w:spacing w:val="0"/>
          <w:color w:val="000000"/>
          <w:position w:val="0"/>
        </w:rPr>
        <w:t>ФЕДЕРАЛЬНАЯ АНТИМОНОПОЛЬНАЯ СЛУЖБА Управление по Кировской области</w:t>
      </w:r>
    </w:p>
    <w:p>
      <w:pPr>
        <w:pStyle w:val="Style5"/>
        <w:tabs>
          <w:tab w:leader="none" w:pos="8307" w:val="center"/>
          <w:tab w:leader="none" w:pos="9650" w:val="right"/>
        </w:tabs>
        <w:widowControl w:val="0"/>
        <w:keepNext w:val="0"/>
        <w:keepLines w:val="0"/>
        <w:shd w:val="clear" w:color="auto" w:fill="auto"/>
        <w:bidi w:val="0"/>
        <w:jc w:val="left"/>
        <w:spacing w:before="0" w:after="253"/>
        <w:ind w:left="20" w:right="500" w:firstLine="2460"/>
      </w:pPr>
      <w:r>
        <w:rPr>
          <w:lang w:val="ru-RU" w:eastAsia="ru-RU" w:bidi="ru-RU"/>
          <w:w w:val="100"/>
          <w:spacing w:val="0"/>
          <w:color w:val="000000"/>
          <w:position w:val="0"/>
        </w:rPr>
        <w:t xml:space="preserve">610020 г.Киров, ул.К.Либкнехта, 55, тел: 64-73-31 </w:t>
      </w:r>
      <w:r>
        <w:rPr>
          <w:rStyle w:val="CharStyle7"/>
        </w:rPr>
        <w:t>«13» ноября 2017 г.</w:t>
        <w:tab/>
        <w:t>№</w:t>
        <w:tab/>
        <w:t>485/03-17-3</w:t>
      </w:r>
    </w:p>
    <w:p>
      <w:pPr>
        <w:pStyle w:val="Style3"/>
        <w:widowControl w:val="0"/>
        <w:keepNext w:val="0"/>
        <w:keepLines w:val="0"/>
        <w:shd w:val="clear" w:color="auto" w:fill="auto"/>
        <w:bidi w:val="0"/>
        <w:jc w:val="left"/>
        <w:spacing w:before="0" w:after="203" w:line="220" w:lineRule="exact"/>
        <w:ind w:left="4240" w:right="0" w:firstLine="0"/>
      </w:pPr>
      <w:r>
        <w:rPr>
          <w:rStyle w:val="CharStyle8"/>
          <w:b/>
          <w:bCs/>
        </w:rPr>
        <w:t>РЕШЕНИЕ</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Кировской области по контролю в сфере закупок (далее - Комиссия Кировского У ФАС России) в составе:</w:t>
      </w:r>
    </w:p>
    <w:p>
      <w:pPr>
        <w:pStyle w:val="Style5"/>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Зам. председателя комиссии:</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Фуфачевой И.Н. - заместителя руководителя Управления - начальника отдела контроля закупок Кировского У ФАС России;</w:t>
      </w:r>
    </w:p>
    <w:p>
      <w:pPr>
        <w:pStyle w:val="Style5"/>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Беликовой Н.В. - ведущего специалиста-эксперта ОКЗ Кировского УФАС России;</w:t>
      </w:r>
    </w:p>
    <w:p>
      <w:pPr>
        <w:pStyle w:val="Style5"/>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Барановой М.Е. - специалиста 1 разряда ОКЗ Кировского УФАС России;</w:t>
      </w:r>
    </w:p>
    <w:p>
      <w:pPr>
        <w:pStyle w:val="Style5"/>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в присутствии:</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Лекомцева С.В. - представителя КОГКУ «Центр по техническому сопровождению государственных закупок», по доверенности,</w:t>
      </w:r>
    </w:p>
    <w:p>
      <w:pPr>
        <w:pStyle w:val="Style5"/>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Дементьевой О.И. - представителя ООО «Теплоэнергетик», по доверенности,</w:t>
      </w:r>
    </w:p>
    <w:p>
      <w:pPr>
        <w:pStyle w:val="Style5"/>
        <w:widowControl w:val="0"/>
        <w:keepNext w:val="0"/>
        <w:keepLines w:val="0"/>
        <w:shd w:val="clear" w:color="auto" w:fill="auto"/>
        <w:bidi w:val="0"/>
        <w:jc w:val="both"/>
        <w:spacing w:before="0" w:after="283" w:line="274" w:lineRule="exact"/>
        <w:ind w:left="20" w:right="0" w:firstLine="700"/>
      </w:pPr>
      <w:r>
        <w:rPr>
          <w:lang w:val="ru-RU" w:eastAsia="ru-RU" w:bidi="ru-RU"/>
          <w:w w:val="100"/>
          <w:spacing w:val="0"/>
          <w:color w:val="000000"/>
          <w:position w:val="0"/>
        </w:rPr>
        <w:t>рассмотрев жалобу ООО «Теплоэнергетик»,</w:t>
      </w:r>
    </w:p>
    <w:p>
      <w:pPr>
        <w:pStyle w:val="Style3"/>
        <w:widowControl w:val="0"/>
        <w:keepNext w:val="0"/>
        <w:keepLines w:val="0"/>
        <w:shd w:val="clear" w:color="auto" w:fill="auto"/>
        <w:bidi w:val="0"/>
        <w:jc w:val="left"/>
        <w:spacing w:before="0" w:after="199" w:line="220" w:lineRule="exact"/>
        <w:ind w:left="4240" w:right="0" w:firstLine="0"/>
      </w:pPr>
      <w:r>
        <w:rPr>
          <w:rStyle w:val="CharStyle8"/>
          <w:b/>
          <w:bCs/>
        </w:rPr>
        <w:t>УСТАНОВИЛА:</w:t>
      </w:r>
    </w:p>
    <w:p>
      <w:pPr>
        <w:pStyle w:val="Style5"/>
        <w:numPr>
          <w:ilvl w:val="0"/>
          <w:numId w:val="1"/>
        </w:numPr>
        <w:tabs>
          <w:tab w:leader="none" w:pos="1892" w:val="lef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года в Кировское УФАС России поступила жалоба ООО «Теплоэнергетик» (далее - Заявитель) на действия аукционной комиссии КОГКУ «Центр по техническому сопровождению государственных закупок» (далее - Уполномоченное учреждение) при проведении электронного аукциона на выполнение работ по замене водогрейных котлов (номер извещения 0340200003317007575). Заказчик - Муниципальное казенное учреждение Администрация Лебяжского района Кировской области.</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Заявитель сообщает, что аукционная комиссия Уполномоченного учреждения необоснованно отклонила первую часть заявки на основании п.1 ч.4 ст.67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 неуказание конкретных показателей предлагаемого товара по позиции 2 (количество комплектов эксплуатационной документации на комплектующие изделия). Кроме того, Заявитель указывает, что количество комплектов эксплуатационной документации к характеристикам товара не относится.</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ч. 1 ст. 106 Закона о контрактной системе Заявителю, Заказчику, Уполномоченному учреждению направлено уведомление о дате, времени, месте рассмотрения жалобы. Рассмотрение жалобы назначено на 13.11.2017 года. Заказчиком направлено ходатайство о рассмотрении жалобы в отсутствие своего представителя.</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Уполномоченное учреждение представило запрашиваемые документы и письменные пояснения, согласно которым при рассмотрении заявки ООО «Теплоэнергетик» аукционная комиссия установила, что по позиции 2 Приложения к Аукционному заданию «Котел КВр-0,15» в характеристиках товара не указан конкретный показатель - количество комплектов эксплуатационной документации на комплектующие изделия, что является нарушением п.1 4.4 ст.67 Закона о контрактной системе и заявка Заявителя по данным основаниям подлежала отклонению. Считает жалобу Заявителя необоснованной.</w:t>
      </w:r>
    </w:p>
    <w:p>
      <w:pPr>
        <w:pStyle w:val="Style5"/>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Из письменных пояснений Заказчика установлено, что при формировании технического задания Заказчиком не были нарушены положения статьи 33 Закона о контрактной системе. В эксплуатационном документе отражены сведения, удостоверяющие гарантированные изготовителем значения основных параметров и характеристик изделия, условия по его эксплуатации, что отражает его эксплуатационные характеристики.</w:t>
      </w:r>
    </w:p>
    <w:p>
      <w:pPr>
        <w:pStyle w:val="Style5"/>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Заслушав пояснения Заявителя, Уполномоченного Учреждения, изучив представленные документы, Комиссия Кировского УФАС России приходит к следующим выводам.</w:t>
      </w:r>
    </w:p>
    <w:p>
      <w:pPr>
        <w:pStyle w:val="Style5"/>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16.10.2017 г. на официальном сайте закупок размещено извещение о проведении электронного аукциона на выполнение работ по замене водогрейных котлов (номер извещения 0340200003317007575). Заказчик - Муниципальное казенное учреждение Администрация Лебяжского района Кировской области. Начальная (максимальная) цена контракта - 1 062 363, 00 рублей. Дата и время окончания подачи заявок - 27.10.2017 в 9-00.</w:t>
      </w:r>
    </w:p>
    <w:p>
      <w:pPr>
        <w:pStyle w:val="Style5"/>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Согласно Приложению к Аукционному заданию «Товары, используемые при выполнении работ...» Заказчику по позиции 2 «Котел КВр-0,15» требуется:</w:t>
      </w:r>
    </w:p>
    <w:p>
      <w:pPr>
        <w:pStyle w:val="Style5"/>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2. Комплектность поставки котла:</w:t>
      </w:r>
    </w:p>
    <w:p>
      <w:pPr>
        <w:pStyle w:val="Style5"/>
        <w:numPr>
          <w:ilvl w:val="0"/>
          <w:numId w:val="3"/>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Котел КВр (блок котла, ручная топка), не менее - 1 шт.;</w:t>
      </w:r>
    </w:p>
    <w:p>
      <w:pPr>
        <w:pStyle w:val="Style5"/>
        <w:numPr>
          <w:ilvl w:val="0"/>
          <w:numId w:val="3"/>
        </w:numPr>
        <w:widowControl w:val="0"/>
        <w:keepNext w:val="0"/>
        <w:keepLines w:val="0"/>
        <w:shd w:val="clear" w:color="auto" w:fill="auto"/>
        <w:bidi w:val="0"/>
        <w:jc w:val="left"/>
        <w:spacing w:before="0" w:after="0" w:line="274" w:lineRule="exact"/>
        <w:ind w:left="40" w:right="160" w:firstLine="700"/>
      </w:pPr>
      <w:r>
        <w:rPr>
          <w:lang w:val="ru-RU" w:eastAsia="ru-RU" w:bidi="ru-RU"/>
          <w:w w:val="100"/>
          <w:spacing w:val="0"/>
          <w:color w:val="000000"/>
          <w:position w:val="0"/>
        </w:rPr>
        <w:t xml:space="preserve"> Комплект контрольно-измерительных приборов (термометры, манометры), не менее - 1 комплекта;</w:t>
      </w:r>
    </w:p>
    <w:p>
      <w:pPr>
        <w:pStyle w:val="Style5"/>
        <w:numPr>
          <w:ilvl w:val="0"/>
          <w:numId w:val="3"/>
        </w:numPr>
        <w:widowControl w:val="0"/>
        <w:keepNext w:val="0"/>
        <w:keepLines w:val="0"/>
        <w:shd w:val="clear" w:color="auto" w:fill="auto"/>
        <w:bidi w:val="0"/>
        <w:jc w:val="left"/>
        <w:spacing w:before="0" w:after="0" w:line="274" w:lineRule="exact"/>
        <w:ind w:left="40" w:right="160" w:firstLine="700"/>
      </w:pPr>
      <w:r>
        <w:rPr>
          <w:lang w:val="ru-RU" w:eastAsia="ru-RU" w:bidi="ru-RU"/>
          <w:w w:val="100"/>
          <w:spacing w:val="0"/>
          <w:color w:val="000000"/>
          <w:position w:val="0"/>
        </w:rPr>
        <w:t xml:space="preserve"> Комплект запорной арматуры по воде в пределах котлоагрегата (краны шаровые), не менее - 1 комплекта;</w:t>
      </w:r>
    </w:p>
    <w:p>
      <w:pPr>
        <w:pStyle w:val="Style5"/>
        <w:numPr>
          <w:ilvl w:val="0"/>
          <w:numId w:val="3"/>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Эксплуатационная документация на котел, не менее - 1 комплекта;</w:t>
      </w:r>
    </w:p>
    <w:p>
      <w:pPr>
        <w:pStyle w:val="Style5"/>
        <w:numPr>
          <w:ilvl w:val="0"/>
          <w:numId w:val="3"/>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Эксплуатационная документация на комплектующие изделия, не менее - 1 комплекта.</w:t>
      </w:r>
    </w:p>
    <w:p>
      <w:pPr>
        <w:pStyle w:val="Style5"/>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Заявитель указал в своей заявке следующее значение:</w:t>
      </w:r>
    </w:p>
    <w:p>
      <w:pPr>
        <w:pStyle w:val="Style5"/>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2. Комплектность поставки котла:</w:t>
      </w:r>
    </w:p>
    <w:p>
      <w:pPr>
        <w:pStyle w:val="Style5"/>
        <w:numPr>
          <w:ilvl w:val="0"/>
          <w:numId w:val="3"/>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Котел КВр (блок котла, ручная топка) - 1 шт.;</w:t>
      </w:r>
    </w:p>
    <w:p>
      <w:pPr>
        <w:pStyle w:val="Style5"/>
        <w:numPr>
          <w:ilvl w:val="0"/>
          <w:numId w:val="3"/>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Комплект контрольно-измерительных приборов (термометры, манометры) - 1 комплект;</w:t>
      </w:r>
    </w:p>
    <w:p>
      <w:pPr>
        <w:pStyle w:val="Style5"/>
        <w:numPr>
          <w:ilvl w:val="0"/>
          <w:numId w:val="3"/>
        </w:numPr>
        <w:widowControl w:val="0"/>
        <w:keepNext w:val="0"/>
        <w:keepLines w:val="0"/>
        <w:shd w:val="clear" w:color="auto" w:fill="auto"/>
        <w:bidi w:val="0"/>
        <w:jc w:val="left"/>
        <w:spacing w:before="0" w:after="0" w:line="274" w:lineRule="exact"/>
        <w:ind w:left="40" w:right="160" w:firstLine="700"/>
      </w:pPr>
      <w:r>
        <w:rPr>
          <w:lang w:val="ru-RU" w:eastAsia="ru-RU" w:bidi="ru-RU"/>
          <w:w w:val="100"/>
          <w:spacing w:val="0"/>
          <w:color w:val="000000"/>
          <w:position w:val="0"/>
        </w:rPr>
        <w:t xml:space="preserve"> Комплект запорной арматуры по воде в пределах котлоагрегата (краны шаровые) - 1 комплект;</w:t>
      </w:r>
    </w:p>
    <w:p>
      <w:pPr>
        <w:pStyle w:val="Style5"/>
        <w:numPr>
          <w:ilvl w:val="0"/>
          <w:numId w:val="3"/>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Эксплуатационная документация на котел - 1 комплект;</w:t>
      </w:r>
    </w:p>
    <w:p>
      <w:pPr>
        <w:pStyle w:val="Style5"/>
        <w:numPr>
          <w:ilvl w:val="0"/>
          <w:numId w:val="3"/>
        </w:numPr>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 xml:space="preserve"> Эксплуатационная документация на комплектующие изделия, </w:t>
      </w:r>
      <w:r>
        <w:rPr>
          <w:rStyle w:val="CharStyle9"/>
        </w:rPr>
        <w:t>не менее</w:t>
      </w:r>
      <w:r>
        <w:rPr>
          <w:lang w:val="ru-RU" w:eastAsia="ru-RU" w:bidi="ru-RU"/>
          <w:w w:val="100"/>
          <w:spacing w:val="0"/>
          <w:color w:val="000000"/>
          <w:position w:val="0"/>
        </w:rPr>
        <w:t xml:space="preserve"> - 1 комплекта.</w:t>
      </w:r>
    </w:p>
    <w:p>
      <w:pPr>
        <w:pStyle w:val="Style5"/>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Согласно подп. «б» п. 3 ч. 3 ст. 66 Закона о контрактной системе первая часть заявки на</w:t>
      </w:r>
    </w:p>
    <w:p>
      <w:pPr>
        <w:pStyle w:val="Style5"/>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б)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tabs>
          <w:tab w:leader="none" w:pos="6032" w:val="left"/>
          <w:tab w:leader="none" w:pos="8662" w:val="right"/>
          <w:tab w:leader="none" w:pos="10122" w:val="right"/>
        </w:tabs>
        <w:widowControl w:val="0"/>
        <w:keepNext w:val="0"/>
        <w:keepLines w:val="0"/>
        <w:shd w:val="clear" w:color="auto" w:fill="auto"/>
        <w:bidi w:val="0"/>
        <w:jc w:val="both"/>
        <w:spacing w:before="0" w:after="0" w:line="274" w:lineRule="exact"/>
        <w:ind w:left="820" w:right="0" w:firstLine="0"/>
      </w:pPr>
      <w:r>
        <w:rPr>
          <w:lang w:val="ru-RU" w:eastAsia="ru-RU" w:bidi="ru-RU"/>
          <w:w w:val="100"/>
          <w:spacing w:val="0"/>
          <w:color w:val="000000"/>
          <w:position w:val="0"/>
        </w:rPr>
        <w:t>Согласно протоколу рассмотрения заявок на</w:t>
        <w:tab/>
        <w:t>участие в</w:t>
        <w:tab/>
        <w:t>электронном</w:t>
        <w:tab/>
        <w:t>аукционе от</w:t>
      </w:r>
    </w:p>
    <w:p>
      <w:pPr>
        <w:pStyle w:val="Style5"/>
        <w:numPr>
          <w:ilvl w:val="0"/>
          <w:numId w:val="5"/>
        </w:numPr>
        <w:tabs>
          <w:tab w:leader="none" w:pos="5966" w:val="right"/>
          <w:tab w:leader="none" w:pos="6136" w:val="left"/>
          <w:tab w:leader="none" w:pos="10122" w:val="right"/>
          <w:tab w:leader="none" w:pos="1286" w:val="left"/>
        </w:tabs>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 0340200003317007575-1 аукционная комиссия Уполномоченного учреждения отклонила заявку Заявителя на основании п.1 ч.4 ст.67 Закона о контрактной системе за несоответствие п.8.1 Информационной карты документации об аукционе, а именно: «не указаны конкретные показатели предлагаемого</w:t>
        <w:tab/>
        <w:t>товара по</w:t>
        <w:tab/>
        <w:t>позиции 2 (количество</w:t>
        <w:tab/>
        <w:t>комплектов</w:t>
      </w:r>
    </w:p>
    <w:p>
      <w:pPr>
        <w:pStyle w:val="Style5"/>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эксплуатационной документации на комплектующие изделия)».</w:t>
      </w:r>
    </w:p>
    <w:p>
      <w:pPr>
        <w:pStyle w:val="Style5"/>
        <w:tabs>
          <w:tab w:leader="none" w:pos="5966" w:val="right"/>
          <w:tab w:leader="none" w:pos="6125" w:val="left"/>
          <w:tab w:leader="none" w:pos="8662" w:val="right"/>
          <w:tab w:leader="none" w:pos="10122" w:val="right"/>
        </w:tabs>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В соответствии с ч. 1 ст. 67 Закона о контрактной системе аукционная комиссия проверяет первые части заявок на участие в</w:t>
        <w:tab/>
        <w:t>электронном</w:t>
        <w:tab/>
        <w:t>аукционе,</w:t>
        <w:tab/>
        <w:t>содержащие</w:t>
        <w:tab/>
        <w:t>информацию,</w:t>
      </w:r>
    </w:p>
    <w:p>
      <w:pPr>
        <w:pStyle w:val="Style5"/>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 xml:space="preserve">предусмотренную </w:t>
      </w:r>
      <w:r>
        <w:rPr>
          <w:rStyle w:val="CharStyle10"/>
        </w:rPr>
        <w:t>частью 3 статьи 66</w:t>
      </w:r>
      <w:r>
        <w:rPr>
          <w:lang w:val="ru-RU" w:eastAsia="ru-RU" w:bidi="ru-RU"/>
          <w:w w:val="100"/>
          <w:spacing w:val="0"/>
          <w:color w:val="000000"/>
          <w:position w:val="0"/>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5"/>
        <w:tabs>
          <w:tab w:leader="none" w:pos="6114" w:val="left"/>
          <w:tab w:leader="none" w:pos="6016" w:val="left"/>
          <w:tab w:leader="none" w:pos="10122" w:val="right"/>
          <w:tab w:leader="none" w:pos="10113" w:val="right"/>
        </w:tabs>
        <w:widowControl w:val="0"/>
        <w:keepNext w:val="0"/>
        <w:keepLines w:val="0"/>
        <w:shd w:val="clear" w:color="auto" w:fill="auto"/>
        <w:bidi w:val="0"/>
        <w:jc w:val="left"/>
        <w:spacing w:before="0" w:after="0" w:line="274" w:lineRule="exact"/>
        <w:ind w:left="40" w:right="40" w:firstLine="580"/>
      </w:pPr>
      <w:r>
        <w:rPr>
          <w:lang w:val="ru-RU" w:eastAsia="ru-RU" w:bidi="ru-RU"/>
          <w:w w:val="100"/>
          <w:spacing w:val="0"/>
          <w:color w:val="000000"/>
          <w:position w:val="0"/>
        </w:rPr>
        <w:t>В соответствии с ч. 3 ст. 67 Закона о контрактной системе по результатам рассмотрения первых частей заявок на участие в</w:t>
        <w:tab/>
        <w:t>электронном</w:t>
        <w:tab/>
        <w:t>аукционе,</w:t>
        <w:tab/>
        <w:t>содержащих</w:t>
        <w:tab/>
        <w:t>информацию,</w:t>
      </w:r>
    </w:p>
    <w:p>
      <w:pPr>
        <w:pStyle w:val="Style5"/>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 xml:space="preserve">предусмотренную </w:t>
      </w:r>
      <w:r>
        <w:rPr>
          <w:rStyle w:val="CharStyle10"/>
        </w:rPr>
        <w:t>частью 3 статьи 66</w:t>
      </w:r>
      <w:r>
        <w:rPr>
          <w:lang w:val="ru-RU" w:eastAsia="ru-RU" w:bidi="ru-RU"/>
          <w:w w:val="100"/>
          <w:spacing w:val="0"/>
          <w:color w:val="000000"/>
          <w:position w:val="0"/>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r>
        <w:rPr>
          <w:rStyle w:val="CharStyle10"/>
        </w:rPr>
        <w:t>частью 4</w:t>
      </w:r>
      <w:r>
        <w:rPr>
          <w:lang w:val="ru-RU" w:eastAsia="ru-RU" w:bidi="ru-RU"/>
          <w:w w:val="100"/>
          <w:spacing w:val="0"/>
          <w:color w:val="000000"/>
          <w:position w:val="0"/>
        </w:rPr>
        <w:t xml:space="preserve"> настоящей статьи.</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В соответствии с ч. 4 ст. 67 Закона о контрактной системе участник электронного аукциона не допускается к участию в нем в случае:</w:t>
      </w:r>
    </w:p>
    <w:p>
      <w:pPr>
        <w:pStyle w:val="Style5"/>
        <w:numPr>
          <w:ilvl w:val="0"/>
          <w:numId w:val="7"/>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непредоставления информации, предусмотренной </w:t>
      </w:r>
      <w:r>
        <w:rPr>
          <w:rStyle w:val="CharStyle10"/>
        </w:rPr>
        <w:t>частью 3 статьи 66</w:t>
      </w:r>
      <w:r>
        <w:rPr>
          <w:lang w:val="ru-RU" w:eastAsia="ru-RU" w:bidi="ru-RU"/>
          <w:w w:val="100"/>
          <w:spacing w:val="0"/>
          <w:color w:val="000000"/>
          <w:position w:val="0"/>
        </w:rPr>
        <w:t xml:space="preserve"> настоящего Федерального закона, или предоставления недостоверной информации;</w:t>
      </w:r>
    </w:p>
    <w:p>
      <w:pPr>
        <w:pStyle w:val="Style5"/>
        <w:numPr>
          <w:ilvl w:val="0"/>
          <w:numId w:val="7"/>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несоответствия информации, предусмотренной </w:t>
      </w:r>
      <w:r>
        <w:rPr>
          <w:rStyle w:val="CharStyle10"/>
        </w:rPr>
        <w:t>частью 3 статьи 66</w:t>
      </w:r>
      <w:r>
        <w:rPr>
          <w:lang w:val="ru-RU" w:eastAsia="ru-RU" w:bidi="ru-RU"/>
          <w:w w:val="100"/>
          <w:spacing w:val="0"/>
          <w:color w:val="000000"/>
          <w:position w:val="0"/>
        </w:rPr>
        <w:t xml:space="preserve"> настоящего Федерального закона, требованиям документации о таком аукционе.</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Согласно п. 1.4 Инструкции по заполнению заявки на участие в аукционе в электронной форме (далее - Инструкция), в случае применения Заказчиком в Технической части (Аукционном задании) слов </w:t>
      </w:r>
      <w:r>
        <w:rPr>
          <w:rStyle w:val="CharStyle7"/>
        </w:rPr>
        <w:t xml:space="preserve">«не менее» </w:t>
      </w:r>
      <w:r>
        <w:rPr>
          <w:lang w:val="ru-RU" w:eastAsia="ru-RU" w:bidi="ru-RU"/>
          <w:w w:val="100"/>
          <w:spacing w:val="0"/>
          <w:color w:val="000000"/>
          <w:position w:val="0"/>
        </w:rPr>
        <w:t>- участником представляется значение равное или превышающее указанное.</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Исходя из п. 1.4 Инструкции и Приложения к Аукционному заданию «Товары, используемые при выполнении работ...», Участником должно быть предложено конкретное значение количества комплектов документации по позиции 2. Таким образом, заявка подлежала отклонению на основании п. 1 ч. 4 ст. 67 Закона о контрактной системе. В действиях комиссии Уполномоченного учреждения отсутствуют нарушения ч.4 ст.67 Закона о контрактной системе.</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Довод Заявителя о том, что требование о количестве комплектов эксплуатационной документации, указанной в позиции 2 Приложения к Аукционному заданию аукционной документации, не относится к характеристикам товара и указанно в нарушение п. 1 ч.1 ст.ЗЗ Закона о контрактной системе, комиссией Кировского УФАС России оставлен без рассмотрения, так как заявлен с нарушением срока, установленного ч. 4 ст. 105 Закона о контрактной системе.</w:t>
      </w:r>
    </w:p>
    <w:p>
      <w:pPr>
        <w:pStyle w:val="Style5"/>
        <w:widowControl w:val="0"/>
        <w:keepNext w:val="0"/>
        <w:keepLines w:val="0"/>
        <w:shd w:val="clear" w:color="auto" w:fill="auto"/>
        <w:bidi w:val="0"/>
        <w:jc w:val="both"/>
        <w:spacing w:before="0" w:after="147" w:line="274" w:lineRule="exact"/>
        <w:ind w:left="20" w:right="20" w:firstLine="720"/>
      </w:pPr>
      <w:r>
        <w:rPr>
          <w:lang w:val="ru-RU" w:eastAsia="ru-RU" w:bidi="ru-RU"/>
          <w:w w:val="100"/>
          <w:spacing w:val="0"/>
          <w:color w:val="000000"/>
          <w:position w:val="0"/>
        </w:rPr>
        <w:t xml:space="preserve">На основании изложенного и в соответствии с ч. 8 ст. 106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pPr>
        <w:pStyle w:val="Style11"/>
        <w:widowControl w:val="0"/>
        <w:keepNext w:val="0"/>
        <w:keepLines w:val="0"/>
        <w:shd w:val="clear" w:color="auto" w:fill="auto"/>
        <w:bidi w:val="0"/>
        <w:jc w:val="left"/>
        <w:spacing w:before="0" w:after="149" w:line="240" w:lineRule="exact"/>
        <w:ind w:left="4700" w:right="0" w:firstLine="0"/>
      </w:pPr>
      <w:r>
        <w:rPr>
          <w:lang w:val="ru-RU" w:eastAsia="ru-RU" w:bidi="ru-RU"/>
          <w:sz w:val="24"/>
          <w:szCs w:val="24"/>
          <w:w w:val="100"/>
          <w:color w:val="000000"/>
          <w:position w:val="0"/>
        </w:rPr>
        <w:t>РЕШИЛА:</w:t>
      </w:r>
    </w:p>
    <w:p>
      <w:pPr>
        <w:pStyle w:val="Style5"/>
        <w:numPr>
          <w:ilvl w:val="0"/>
          <w:numId w:val="9"/>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Признать необоснованной жалобу ООО «Теплоэнергетик» на действия аукционной комиссии КОГКУ «Центр по техническому сопровождению государственных закупок» при проведении электронного аукциона на выполнение работ по замене водогрейных котлов (номер извещения 0340200003317007575).</w:t>
      </w:r>
    </w:p>
    <w:p>
      <w:pPr>
        <w:pStyle w:val="Style5"/>
        <w:numPr>
          <w:ilvl w:val="0"/>
          <w:numId w:val="9"/>
        </w:numPr>
        <w:widowControl w:val="0"/>
        <w:keepNext w:val="0"/>
        <w:keepLines w:val="0"/>
        <w:shd w:val="clear" w:color="auto" w:fill="auto"/>
        <w:bidi w:val="0"/>
        <w:jc w:val="both"/>
        <w:spacing w:before="0" w:after="246" w:line="274" w:lineRule="exact"/>
        <w:ind w:left="20" w:right="0" w:firstLine="720"/>
      </w:pPr>
      <w:r>
        <w:rPr>
          <w:lang w:val="ru-RU" w:eastAsia="ru-RU" w:bidi="ru-RU"/>
          <w:w w:val="100"/>
          <w:spacing w:val="0"/>
          <w:color w:val="000000"/>
          <w:position w:val="0"/>
        </w:rPr>
        <w:t xml:space="preserve"> Отменить приостановление заключения контракта.</w:t>
      </w:r>
    </w:p>
    <w:p>
      <w:pPr>
        <w:pStyle w:val="Style13"/>
        <w:widowControl w:val="0"/>
        <w:keepNext w:val="0"/>
        <w:keepLines w:val="0"/>
        <w:shd w:val="clear" w:color="auto" w:fill="auto"/>
        <w:bidi w:val="0"/>
        <w:spacing w:before="0" w:after="97"/>
        <w:ind w:left="20" w:right="20"/>
      </w:pPr>
      <w:r>
        <w:rPr>
          <w:lang w:val="ru-RU" w:eastAsia="ru-RU" w:bidi="ru-RU"/>
          <w:w w:val="100"/>
          <w:spacing w:val="0"/>
          <w:color w:val="000000"/>
          <w:position w:val="0"/>
        </w:rPr>
        <w:t xml:space="preserve">В соответствии с ч. 9 ст. 106 ФЗ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решение может быть обэ/саловано в судебном порядке в течение трех месяцев с момента его принятия.</w:t>
      </w:r>
    </w:p>
    <w:p>
      <w:pPr>
        <w:pStyle w:val="Style5"/>
        <w:widowControl w:val="0"/>
        <w:keepNext w:val="0"/>
        <w:keepLines w:val="0"/>
        <w:shd w:val="clear" w:color="auto" w:fill="auto"/>
        <w:bidi w:val="0"/>
        <w:jc w:val="both"/>
        <w:spacing w:before="0" w:after="429" w:line="220" w:lineRule="exact"/>
        <w:ind w:left="20" w:right="0" w:firstLine="0"/>
      </w:pPr>
      <w:r>
        <w:rPr>
          <w:lang w:val="ru-RU" w:eastAsia="ru-RU" w:bidi="ru-RU"/>
          <w:w w:val="100"/>
          <w:spacing w:val="0"/>
          <w:color w:val="000000"/>
          <w:position w:val="0"/>
        </w:rPr>
        <w:t>Зам.председатель комиссии</w:t>
      </w:r>
    </w:p>
    <w:p>
      <w:pPr>
        <w:pStyle w:val="Style5"/>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Члены комиссии</w:t>
      </w:r>
      <w:r>
        <w:br w:type="page"/>
      </w:r>
    </w:p>
    <w:sectPr>
      <w:footnotePr>
        <w:pos w:val="pageBottom"/>
        <w:numFmt w:val="decimal"/>
        <w:numRestart w:val="continuous"/>
      </w:footnotePr>
      <w:type w:val="continuous"/>
      <w:pgSz w:w="11906" w:h="16838"/>
      <w:pgMar w:top="1180" w:left="906" w:right="852" w:bottom="89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3.1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1.1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 + Полужирный"/>
    <w:basedOn w:val="CharStyle6"/>
    <w:rPr>
      <w:lang w:val="ru-RU" w:eastAsia="ru-RU" w:bidi="ru-RU"/>
      <w:b/>
      <w:bCs/>
      <w:w w:val="100"/>
      <w:spacing w:val="0"/>
      <w:color w:val="000000"/>
      <w:position w:val="0"/>
    </w:rPr>
  </w:style>
  <w:style w:type="character" w:customStyle="1" w:styleId="CharStyle8">
    <w:name w:val="Основной текст (2) + Интервал 3 pt"/>
    <w:basedOn w:val="CharStyle4"/>
    <w:rPr>
      <w:lang w:val="ru-RU" w:eastAsia="ru-RU" w:bidi="ru-RU"/>
      <w:w w:val="100"/>
      <w:spacing w:val="60"/>
      <w:color w:val="000000"/>
      <w:position w:val="0"/>
    </w:rPr>
  </w:style>
  <w:style w:type="character" w:customStyle="1" w:styleId="CharStyle9">
    <w:name w:val="Основной текст + Курсив"/>
    <w:basedOn w:val="CharStyle6"/>
    <w:rPr>
      <w:lang w:val="ru-RU" w:eastAsia="ru-RU" w:bidi="ru-RU"/>
      <w:i/>
      <w:iCs/>
      <w:w w:val="100"/>
      <w:spacing w:val="0"/>
      <w:color w:val="000000"/>
      <w:position w:val="0"/>
    </w:rPr>
  </w:style>
  <w:style w:type="character" w:customStyle="1" w:styleId="CharStyle10">
    <w:name w:val="Основной текст"/>
    <w:basedOn w:val="CharStyle6"/>
    <w:rPr>
      <w:lang w:val="ru-RU" w:eastAsia="ru-RU" w:bidi="ru-RU"/>
      <w:u w:val="single"/>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rFonts w:ascii="Times New Roman" w:eastAsia="Times New Roman" w:hAnsi="Times New Roman" w:cs="Times New Roman"/>
      <w:spacing w:val="60"/>
    </w:rPr>
  </w:style>
  <w:style w:type="character" w:customStyle="1" w:styleId="CharStyle14">
    <w:name w:val="Основной текст (4)_"/>
    <w:basedOn w:val="DefaultParagraphFont"/>
    <w:link w:val="Style13"/>
    <w:rPr>
      <w:b w:val="0"/>
      <w:bCs w:val="0"/>
      <w:i/>
      <w:iCs/>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240" w:after="60" w:line="28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before="60" w:after="60" w:line="461"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before="120" w:after="240" w:line="0" w:lineRule="exact"/>
    </w:pPr>
    <w:rPr>
      <w:b w:val="0"/>
      <w:bCs w:val="0"/>
      <w:i w:val="0"/>
      <w:iCs w:val="0"/>
      <w:u w:val="none"/>
      <w:strike w:val="0"/>
      <w:smallCaps w:val="0"/>
      <w:rFonts w:ascii="Times New Roman" w:eastAsia="Times New Roman" w:hAnsi="Times New Roman" w:cs="Times New Roman"/>
      <w:spacing w:val="60"/>
    </w:rPr>
  </w:style>
  <w:style w:type="paragraph" w:customStyle="1" w:styleId="Style13">
    <w:name w:val="Основной текст (4)"/>
    <w:basedOn w:val="Normal"/>
    <w:link w:val="CharStyle14"/>
    <w:pPr>
      <w:widowControl w:val="0"/>
      <w:shd w:val="clear" w:color="auto" w:fill="FFFFFF"/>
      <w:jc w:val="both"/>
      <w:spacing w:before="240" w:after="240" w:line="266" w:lineRule="exact"/>
      <w:ind w:firstLine="560"/>
    </w:pPr>
    <w:rPr>
      <w:b w:val="0"/>
      <w:bCs w:val="0"/>
      <w:i/>
      <w:iCs/>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