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08" w:h="3249" w:wrap="around" w:vAnchor="text" w:hAnchor="margin" w:x="-1196" w:y="439"/>
        <w:widowControl w:val="0"/>
        <w:keepNext w:val="0"/>
        <w:keepLines w:val="0"/>
        <w:shd w:val="clear" w:color="auto" w:fill="auto"/>
        <w:bidi w:val="0"/>
        <w:spacing w:before="0" w:after="26"/>
        <w:ind w:left="0" w:right="140" w:firstLine="0"/>
      </w:pPr>
      <w:r>
        <w:rPr>
          <w:rStyle w:val="CharStyle5"/>
          <w:b/>
          <w:bCs/>
          <w:spacing w:val="0"/>
        </w:rPr>
        <w:t>ФЕДЕРАЛЬНАЯ АНТИМОНОПОЛЬНАЯ СЛУЖБА</w:t>
      </w:r>
    </w:p>
    <w:p>
      <w:pPr>
        <w:pStyle w:val="Style6"/>
        <w:framePr w:w="4808" w:h="3249" w:wrap="around" w:vAnchor="text" w:hAnchor="margin" w:x="-1196" w:y="439"/>
        <w:widowControl w:val="0"/>
        <w:keepNext w:val="0"/>
        <w:keepLines w:val="0"/>
        <w:shd w:val="clear" w:color="auto" w:fill="auto"/>
        <w:bidi w:val="0"/>
        <w:jc w:val="left"/>
        <w:spacing w:before="0" w:after="138"/>
        <w:ind w:left="0" w:right="100" w:firstLine="1600"/>
      </w:pPr>
      <w:r>
        <w:rPr>
          <w:rStyle w:val="CharStyle8"/>
          <w:b/>
          <w:bCs/>
          <w:spacing w:val="0"/>
        </w:rPr>
        <w:t>УПРАВЛЕНИЕ Федеральной антимонопольной службы по Ярославской области</w:t>
      </w:r>
    </w:p>
    <w:p>
      <w:pPr>
        <w:pStyle w:val="Style9"/>
        <w:framePr w:w="4808" w:h="3249" w:wrap="around" w:vAnchor="text" w:hAnchor="margin" w:x="-1196" w:y="439"/>
        <w:widowControl w:val="0"/>
        <w:keepNext w:val="0"/>
        <w:keepLines w:val="0"/>
        <w:shd w:val="clear" w:color="auto" w:fill="auto"/>
        <w:bidi w:val="0"/>
        <w:spacing w:before="0" w:after="171"/>
        <w:ind w:left="0" w:right="140" w:firstLine="0"/>
      </w:pPr>
      <w:r>
        <w:rPr>
          <w:rStyle w:val="CharStyle11"/>
        </w:rPr>
        <w:t xml:space="preserve">Свободы ул., д. 46, г. </w:t>
      </w:r>
      <w:r>
        <w:rPr>
          <w:rStyle w:val="CharStyle12"/>
        </w:rPr>
        <w:t xml:space="preserve">Ярославль, </w:t>
      </w:r>
      <w:r>
        <w:rPr>
          <w:rStyle w:val="CharStyle11"/>
        </w:rPr>
        <w:t xml:space="preserve">150999 тел. (4852) 72-95-20, </w:t>
      </w:r>
      <w:r>
        <w:rPr>
          <w:rStyle w:val="CharStyle12"/>
        </w:rPr>
        <w:t xml:space="preserve">факс </w:t>
      </w:r>
      <w:r>
        <w:rPr>
          <w:rStyle w:val="CharStyle11"/>
        </w:rPr>
        <w:t xml:space="preserve">(4852) 32-93-71 </w:t>
      </w:r>
      <w:r>
        <w:rPr>
          <w:rStyle w:val="CharStyle11"/>
          <w:lang w:val="en-US" w:eastAsia="en-US" w:bidi="en-US"/>
        </w:rPr>
        <w:t>e-mail: to76^</w:t>
      </w:r>
      <w:r>
        <w:rPr>
          <w:rStyle w:val="CharStyle12"/>
          <w:lang w:val="en-US" w:eastAsia="en-US" w:bidi="en-US"/>
        </w:rPr>
        <w:t>fas.</w:t>
      </w:r>
      <w:r>
        <w:rPr>
          <w:rStyle w:val="CharStyle11"/>
          <w:lang w:val="en-US" w:eastAsia="en-US" w:bidi="en-US"/>
        </w:rPr>
        <w:t>gov.ru</w:t>
      </w:r>
    </w:p>
    <w:p>
      <w:pPr>
        <w:pStyle w:val="Style13"/>
        <w:framePr w:w="4808" w:h="3249" w:wrap="around" w:vAnchor="text" w:hAnchor="margin" w:x="-1196" w:y="439"/>
        <w:widowControl w:val="0"/>
        <w:keepNext w:val="0"/>
        <w:keepLines w:val="0"/>
        <w:shd w:val="clear" w:color="auto" w:fill="auto"/>
        <w:bidi w:val="0"/>
        <w:spacing w:before="0" w:after="254" w:line="220" w:lineRule="exact"/>
        <w:ind w:left="0" w:right="200" w:firstLine="0"/>
      </w:pPr>
      <w:r>
        <w:rPr>
          <w:rStyle w:val="CharStyle15"/>
          <w:i/>
          <w:iCs/>
          <w:spacing w:val="-20"/>
        </w:rPr>
        <w:t>»</w:t>
      </w:r>
      <w:r>
        <w:rPr>
          <w:rStyle w:val="CharStyle16"/>
          <w:i/>
          <w:iCs/>
          <w:spacing w:val="-20"/>
        </w:rPr>
        <w:t>S&lt;f'V6/a3--oj</w:t>
      </w:r>
    </w:p>
    <w:p>
      <w:pPr>
        <w:pStyle w:val="Style3"/>
        <w:framePr w:w="4808" w:h="3249" w:wrap="around" w:vAnchor="text" w:hAnchor="margin" w:x="-1196" w:y="439"/>
        <w:tabs>
          <w:tab w:leader="underscore" w:pos="2453" w:val="center"/>
        </w:tabs>
        <w:widowControl w:val="0"/>
        <w:keepNext w:val="0"/>
        <w:keepLines w:val="0"/>
        <w:shd w:val="clear" w:color="auto" w:fill="auto"/>
        <w:bidi w:val="0"/>
        <w:jc w:val="both"/>
        <w:spacing w:before="0" w:after="0" w:line="200" w:lineRule="exact"/>
        <w:ind w:left="520" w:right="0" w:firstLine="0"/>
      </w:pPr>
      <w:r>
        <w:rPr>
          <w:rStyle w:val="CharStyle17"/>
          <w:b/>
          <w:bCs/>
          <w:spacing w:val="0"/>
        </w:rPr>
        <w:t xml:space="preserve">Ha№ </w:t>
        <w:tab/>
        <w:t xml:space="preserve"> </w:t>
      </w:r>
      <w:r>
        <w:rPr>
          <w:rStyle w:val="CharStyle17"/>
          <w:lang w:val="ru-RU" w:eastAsia="ru-RU" w:bidi="ru-RU"/>
          <w:b/>
          <w:bCs/>
          <w:spacing w:val="0"/>
        </w:rPr>
        <w:t>от</w:t>
      </w:r>
    </w:p>
    <w:p>
      <w:pPr>
        <w:pStyle w:val="Style6"/>
        <w:widowControl w:val="0"/>
        <w:keepNext w:val="0"/>
        <w:keepLines w:val="0"/>
        <w:shd w:val="clear" w:color="auto" w:fill="auto"/>
        <w:bidi w:val="0"/>
        <w:spacing w:before="0" w:after="293"/>
        <w:ind w:left="3520" w:right="40" w:firstLine="0"/>
      </w:pPr>
      <w:r>
        <w:rPr>
          <w:lang w:val="ru-RU" w:eastAsia="ru-RU" w:bidi="ru-RU"/>
          <w:sz w:val="24"/>
          <w:szCs w:val="24"/>
          <w:w w:val="100"/>
          <w:spacing w:val="0"/>
          <w:color w:val="000000"/>
          <w:position w:val="0"/>
        </w:rPr>
        <w:t>Общество с ограниченной ответственностью «МОНОЛИТ»</w:t>
      </w:r>
    </w:p>
    <w:p>
      <w:pPr>
        <w:pStyle w:val="Style19"/>
        <w:widowControl w:val="0"/>
        <w:keepNext w:val="0"/>
        <w:keepLines w:val="0"/>
        <w:shd w:val="clear" w:color="auto" w:fill="auto"/>
        <w:bidi w:val="0"/>
        <w:spacing w:before="0" w:after="14" w:line="240" w:lineRule="exact"/>
        <w:ind w:left="1500" w:right="0" w:firstLine="0"/>
      </w:pPr>
      <w:r>
        <w:rPr>
          <w:lang w:val="ru-RU" w:eastAsia="ru-RU" w:bidi="ru-RU"/>
          <w:sz w:val="24"/>
          <w:szCs w:val="24"/>
          <w:w w:val="100"/>
          <w:spacing w:val="0"/>
          <w:color w:val="000000"/>
          <w:position w:val="0"/>
        </w:rPr>
        <w:t>109202, г. Москва, шоссе Фрезер, д.</w:t>
      </w:r>
    </w:p>
    <w:p>
      <w:pPr>
        <w:pStyle w:val="Style19"/>
        <w:widowControl w:val="0"/>
        <w:keepNext w:val="0"/>
        <w:keepLines w:val="0"/>
        <w:shd w:val="clear" w:color="auto" w:fill="auto"/>
        <w:bidi w:val="0"/>
        <w:spacing w:before="0" w:after="307" w:line="240" w:lineRule="exact"/>
        <w:ind w:left="1500" w:right="0" w:firstLine="0"/>
      </w:pPr>
      <w:r>
        <w:rPr>
          <w:lang w:val="ru-RU" w:eastAsia="ru-RU" w:bidi="ru-RU"/>
          <w:sz w:val="24"/>
          <w:szCs w:val="24"/>
          <w:w w:val="100"/>
          <w:spacing w:val="0"/>
          <w:color w:val="000000"/>
          <w:position w:val="0"/>
        </w:rPr>
        <w:t>5/1, э подвал, пом. 1, к. 1, оф. 15</w:t>
      </w:r>
    </w:p>
    <w:p>
      <w:pPr>
        <w:pStyle w:val="Style19"/>
        <w:widowControl w:val="0"/>
        <w:keepNext w:val="0"/>
        <w:keepLines w:val="0"/>
        <w:shd w:val="clear" w:color="auto" w:fill="auto"/>
        <w:bidi w:val="0"/>
        <w:spacing w:before="0" w:after="236" w:line="240" w:lineRule="exact"/>
        <w:ind w:left="1500" w:right="0" w:firstLine="0"/>
      </w:pPr>
      <w:r>
        <w:fldChar w:fldCharType="begin"/>
      </w:r>
      <w:r>
        <w:rPr>
          <w:color w:val="000000"/>
        </w:rPr>
        <w:instrText> HYPERLINK "mailto:monolitsd@mail.ru" </w:instrText>
      </w:r>
      <w:r>
        <w:fldChar w:fldCharType="separate"/>
      </w:r>
      <w:r>
        <w:rPr>
          <w:rStyle w:val="Hyperlink"/>
          <w:lang w:val="en-US" w:eastAsia="en-US" w:bidi="en-US"/>
          <w:sz w:val="24"/>
          <w:szCs w:val="24"/>
          <w:w w:val="100"/>
          <w:spacing w:val="0"/>
          <w:position w:val="0"/>
        </w:rPr>
        <w:t>monolitsd@mail.ru</w:t>
      </w:r>
      <w:r>
        <w:fldChar w:fldCharType="end"/>
      </w:r>
    </w:p>
    <w:p>
      <w:pPr>
        <w:pStyle w:val="Style6"/>
        <w:tabs>
          <w:tab w:leader="none" w:pos="5734" w:val="right"/>
        </w:tabs>
        <w:widowControl w:val="0"/>
        <w:keepNext w:val="0"/>
        <w:keepLines w:val="0"/>
        <w:shd w:val="clear" w:color="auto" w:fill="auto"/>
        <w:bidi w:val="0"/>
        <w:spacing w:before="0" w:after="0" w:line="302" w:lineRule="exact"/>
        <w:ind w:left="1500" w:right="0" w:firstLine="0"/>
      </w:pPr>
      <w:r>
        <w:rPr>
          <w:lang w:val="ru-RU" w:eastAsia="ru-RU" w:bidi="ru-RU"/>
          <w:sz w:val="24"/>
          <w:szCs w:val="24"/>
          <w:w w:val="100"/>
          <w:spacing w:val="0"/>
          <w:color w:val="000000"/>
          <w:position w:val="0"/>
        </w:rPr>
        <w:t>Муниципальное</w:t>
        <w:tab/>
        <w:t>учреждение</w:t>
      </w:r>
    </w:p>
    <w:p>
      <w:pPr>
        <w:pStyle w:val="Style6"/>
        <w:tabs>
          <w:tab w:leader="none" w:pos="5734" w:val="right"/>
        </w:tabs>
        <w:widowControl w:val="0"/>
        <w:keepNext w:val="0"/>
        <w:keepLines w:val="0"/>
        <w:shd w:val="clear" w:color="auto" w:fill="auto"/>
        <w:bidi w:val="0"/>
        <w:spacing w:before="0" w:after="0" w:line="302" w:lineRule="exact"/>
        <w:ind w:left="1500" w:right="0" w:firstLine="0"/>
      </w:pPr>
      <w:r>
        <w:rPr>
          <w:lang w:val="ru-RU" w:eastAsia="ru-RU" w:bidi="ru-RU"/>
          <w:sz w:val="24"/>
          <w:szCs w:val="24"/>
          <w:w w:val="100"/>
          <w:spacing w:val="0"/>
          <w:color w:val="000000"/>
          <w:position w:val="0"/>
        </w:rPr>
        <w:t>«Управление</w:t>
        <w:tab/>
        <w:t>городского</w:t>
      </w:r>
    </w:p>
    <w:p>
      <w:pPr>
        <w:pStyle w:val="Style6"/>
        <w:widowControl w:val="0"/>
        <w:keepNext w:val="0"/>
        <w:keepLines w:val="0"/>
        <w:shd w:val="clear" w:color="auto" w:fill="auto"/>
        <w:bidi w:val="0"/>
        <w:spacing w:before="0" w:after="246" w:line="302" w:lineRule="exact"/>
        <w:ind w:left="1500" w:right="0" w:firstLine="0"/>
      </w:pPr>
      <w:r>
        <w:rPr>
          <w:lang w:val="ru-RU" w:eastAsia="ru-RU" w:bidi="ru-RU"/>
          <w:sz w:val="24"/>
          <w:szCs w:val="24"/>
          <w:w w:val="100"/>
          <w:spacing w:val="0"/>
          <w:color w:val="000000"/>
          <w:position w:val="0"/>
        </w:rPr>
        <w:t>хозяйства»</w:t>
      </w:r>
    </w:p>
    <w:p>
      <w:pPr>
        <w:pStyle w:val="Style19"/>
        <w:widowControl w:val="0"/>
        <w:keepNext w:val="0"/>
        <w:keepLines w:val="0"/>
        <w:shd w:val="clear" w:color="auto" w:fill="auto"/>
        <w:bidi w:val="0"/>
        <w:jc w:val="left"/>
        <w:spacing w:before="0" w:after="284" w:line="295" w:lineRule="exact"/>
        <w:ind w:left="5100" w:right="40"/>
      </w:pPr>
      <w:r>
        <w:rPr>
          <w:lang w:val="ru-RU" w:eastAsia="ru-RU" w:bidi="ru-RU"/>
          <w:sz w:val="24"/>
          <w:szCs w:val="24"/>
          <w:w w:val="100"/>
          <w:spacing w:val="0"/>
          <w:color w:val="000000"/>
          <w:position w:val="0"/>
        </w:rPr>
        <w:t>152240, г. Гаврилов-Ям, Ярославская обл., ул. Кирова д. 1а</w:t>
      </w:r>
    </w:p>
    <w:p>
      <w:pPr>
        <w:pStyle w:val="Style19"/>
        <w:widowControl w:val="0"/>
        <w:keepNext w:val="0"/>
        <w:keepLines w:val="0"/>
        <w:shd w:val="clear" w:color="auto" w:fill="auto"/>
        <w:bidi w:val="0"/>
        <w:spacing w:before="0" w:after="253" w:line="240" w:lineRule="exact"/>
        <w:ind w:left="5100" w:right="0" w:firstLine="0"/>
      </w:pPr>
      <w:r>
        <w:fldChar w:fldCharType="begin"/>
      </w:r>
      <w:r>
        <w:rPr>
          <w:color w:val="000000"/>
        </w:rPr>
        <w:instrText> HYPERLINK "mailto:ugorhoz@rambler.ru" </w:instrText>
      </w:r>
      <w:r>
        <w:fldChar w:fldCharType="separate"/>
      </w:r>
      <w:r>
        <w:rPr>
          <w:rStyle w:val="Hyperlink"/>
          <w:lang w:val="en-US" w:eastAsia="en-US" w:bidi="en-US"/>
          <w:sz w:val="24"/>
          <w:szCs w:val="24"/>
          <w:w w:val="100"/>
          <w:spacing w:val="0"/>
          <w:position w:val="0"/>
        </w:rPr>
        <w:t>ugorhoz@rambler.ru</w:t>
      </w:r>
      <w:r>
        <w:fldChar w:fldCharType="end"/>
      </w:r>
    </w:p>
    <w:p>
      <w:pPr>
        <w:pStyle w:val="Style6"/>
        <w:widowControl w:val="0"/>
        <w:keepNext w:val="0"/>
        <w:keepLines w:val="0"/>
        <w:shd w:val="clear" w:color="auto" w:fill="auto"/>
        <w:bidi w:val="0"/>
        <w:spacing w:before="0" w:after="0" w:line="299" w:lineRule="exact"/>
        <w:ind w:left="5100" w:right="40" w:firstLine="0"/>
      </w:pPr>
      <w:r>
        <w:rPr>
          <w:lang w:val="ru-RU" w:eastAsia="ru-RU" w:bidi="ru-RU"/>
          <w:sz w:val="24"/>
          <w:szCs w:val="24"/>
          <w:w w:val="100"/>
          <w:spacing w:val="0"/>
          <w:color w:val="000000"/>
          <w:position w:val="0"/>
        </w:rPr>
        <w:t>Акционерное общество «Сбербанк - Автоматизированная система торгов»</w:t>
      </w:r>
    </w:p>
    <w:p>
      <w:pPr>
        <w:pStyle w:val="Style21"/>
        <w:widowControl w:val="0"/>
        <w:keepNext w:val="0"/>
        <w:keepLines w:val="0"/>
        <w:shd w:val="clear" w:color="auto" w:fill="auto"/>
        <w:bidi w:val="0"/>
        <w:jc w:val="left"/>
        <w:spacing w:before="0" w:after="0" w:line="110" w:lineRule="exact"/>
        <w:ind w:left="7060" w:right="0" w:firstLine="0"/>
      </w:pPr>
      <w:r>
        <w:rPr>
          <w:lang w:val="ru-RU" w:eastAsia="ru-RU" w:bidi="ru-RU"/>
          <w:w w:val="100"/>
          <w:spacing w:val="0"/>
          <w:color w:val="000000"/>
          <w:position w:val="0"/>
        </w:rPr>
        <w:t>I</w:t>
      </w:r>
    </w:p>
    <w:p>
      <w:pPr>
        <w:pStyle w:val="Style19"/>
        <w:widowControl w:val="0"/>
        <w:keepNext w:val="0"/>
        <w:keepLines w:val="0"/>
        <w:shd w:val="clear" w:color="auto" w:fill="auto"/>
        <w:bidi w:val="0"/>
        <w:spacing w:before="0" w:after="287" w:line="299" w:lineRule="exact"/>
        <w:ind w:left="5100" w:right="40" w:firstLine="0"/>
      </w:pPr>
      <w:r>
        <w:rPr>
          <w:lang w:val="ru-RU" w:eastAsia="ru-RU" w:bidi="ru-RU"/>
          <w:sz w:val="24"/>
          <w:szCs w:val="24"/>
          <w:w w:val="100"/>
          <w:spacing w:val="0"/>
          <w:color w:val="000000"/>
          <w:position w:val="0"/>
        </w:rPr>
        <w:t>119435, г. Москва, Большой Савинский пер., д. 12, стр. 9</w:t>
      </w:r>
    </w:p>
    <w:p>
      <w:pPr>
        <w:pStyle w:val="Style19"/>
        <w:widowControl w:val="0"/>
        <w:keepNext w:val="0"/>
        <w:keepLines w:val="0"/>
        <w:shd w:val="clear" w:color="auto" w:fill="auto"/>
        <w:bidi w:val="0"/>
        <w:spacing w:before="0" w:after="131" w:line="240" w:lineRule="exact"/>
        <w:ind w:left="5100" w:right="0" w:firstLine="0"/>
      </w:pP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19"/>
        <w:widowControl w:val="0"/>
        <w:keepNext w:val="0"/>
        <w:keepLines w:val="0"/>
        <w:shd w:val="clear" w:color="auto" w:fill="auto"/>
        <w:bidi w:val="0"/>
        <w:jc w:val="center"/>
        <w:spacing w:before="0" w:after="0" w:line="446" w:lineRule="exact"/>
        <w:ind w:left="20" w:right="0" w:firstLine="0"/>
      </w:pPr>
      <w:r>
        <w:rPr>
          <w:lang w:val="ru-RU" w:eastAsia="ru-RU" w:bidi="ru-RU"/>
          <w:sz w:val="24"/>
          <w:szCs w:val="24"/>
          <w:w w:val="100"/>
          <w:spacing w:val="0"/>
          <w:color w:val="000000"/>
          <w:position w:val="0"/>
        </w:rPr>
        <w:t>РЕШЕНИЕ</w:t>
      </w:r>
    </w:p>
    <w:p>
      <w:pPr>
        <w:pStyle w:val="Style19"/>
        <w:widowControl w:val="0"/>
        <w:keepNext w:val="0"/>
        <w:keepLines w:val="0"/>
        <w:shd w:val="clear" w:color="auto" w:fill="auto"/>
        <w:bidi w:val="0"/>
        <w:jc w:val="center"/>
        <w:spacing w:before="0" w:after="0" w:line="446" w:lineRule="exact"/>
        <w:ind w:left="20" w:right="0" w:firstLine="0"/>
      </w:pPr>
      <w:r>
        <w:rPr>
          <w:lang w:val="ru-RU" w:eastAsia="ru-RU" w:bidi="ru-RU"/>
          <w:sz w:val="24"/>
          <w:szCs w:val="24"/>
          <w:w w:val="100"/>
          <w:spacing w:val="0"/>
          <w:color w:val="000000"/>
          <w:position w:val="0"/>
        </w:rPr>
        <w:t>по делу № 076/06/64-1129/2021</w:t>
      </w:r>
    </w:p>
    <w:p>
      <w:pPr>
        <w:pStyle w:val="Style19"/>
        <w:widowControl w:val="0"/>
        <w:keepNext w:val="0"/>
        <w:keepLines w:val="0"/>
        <w:shd w:val="clear" w:color="auto" w:fill="auto"/>
        <w:bidi w:val="0"/>
        <w:spacing w:before="0" w:after="0" w:line="446" w:lineRule="exact"/>
        <w:ind w:left="40" w:right="0" w:firstLine="700"/>
      </w:pPr>
      <w:r>
        <w:rPr>
          <w:lang w:val="ru-RU" w:eastAsia="ru-RU" w:bidi="ru-RU"/>
          <w:sz w:val="24"/>
          <w:szCs w:val="24"/>
          <w:w w:val="100"/>
          <w:spacing w:val="0"/>
          <w:color w:val="000000"/>
          <w:position w:val="0"/>
        </w:rPr>
        <w:t>Резолютивная часть решения объявлена 11 ноября 2021 года</w:t>
      </w:r>
    </w:p>
    <w:p>
      <w:pPr>
        <w:pStyle w:val="Style19"/>
        <w:widowControl w:val="0"/>
        <w:keepNext w:val="0"/>
        <w:keepLines w:val="0"/>
        <w:shd w:val="clear" w:color="auto" w:fill="auto"/>
        <w:bidi w:val="0"/>
        <w:spacing w:before="0" w:after="232" w:line="240" w:lineRule="exact"/>
        <w:ind w:left="40" w:right="0" w:firstLine="700"/>
      </w:pPr>
      <w:r>
        <w:rPr>
          <w:lang w:val="ru-RU" w:eastAsia="ru-RU" w:bidi="ru-RU"/>
          <w:sz w:val="24"/>
          <w:szCs w:val="24"/>
          <w:w w:val="100"/>
          <w:spacing w:val="0"/>
          <w:color w:val="000000"/>
          <w:position w:val="0"/>
        </w:rPr>
        <w:t>Решение изготовлено в полном объеме 16 ноября 2021 года г. Ярославль</w:t>
      </w:r>
    </w:p>
    <w:p>
      <w:pPr>
        <w:pStyle w:val="Style23"/>
        <w:widowControl w:val="0"/>
        <w:keepNext w:val="0"/>
        <w:keepLines w:val="0"/>
        <w:shd w:val="clear" w:color="auto" w:fill="auto"/>
        <w:bidi w:val="0"/>
        <w:jc w:val="left"/>
        <w:spacing w:before="0" w:after="0" w:line="80" w:lineRule="exact"/>
        <w:ind w:left="5920" w:right="0" w:firstLine="0"/>
      </w:pPr>
      <w:r>
        <w:rPr>
          <w:rStyle w:val="CharStyle25"/>
        </w:rPr>
        <w:t>1</w:t>
      </w:r>
      <w:r>
        <w:rPr>
          <w:lang w:val="ru-RU" w:eastAsia="ru-RU" w:bidi="ru-RU"/>
          <w:w w:val="100"/>
          <w:spacing w:val="0"/>
          <w:color w:val="000000"/>
          <w:position w:val="0"/>
        </w:rPr>
        <w:t xml:space="preserve"> * *</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заместитель руководителя управления - начальник отдела контроля закупок Потемкина Т. В., члены Комиссии - главный специалист отдела контроля закупок Семенычева Е. К., главный специалист-эксперт отдела контроля закупок Ерофеева И. С., с участием:</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заявитель, общество с ограниченной ответственностью «МОНОЛИТ» (далее также - ООО «МОНОЛИТ», общество), представителя не направил, о времени, дате и месте рассмотрения жалобы уведомлен надлежащим образом;</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заказчик, муниципальное учреждение «Управление городского хозяйства» (далее также - МУ «Управление городского хозяйства», заказчик), о времени, дате и месте рассмотрения жалобы уведомлен надлежащим образом, направил ходатайство о рассмотрении жалобы в отсутствие представителя;</w:t>
      </w:r>
    </w:p>
    <w:p>
      <w:pPr>
        <w:pStyle w:val="Style19"/>
        <w:widowControl w:val="0"/>
        <w:keepNext w:val="0"/>
        <w:keepLines w:val="0"/>
        <w:shd w:val="clear" w:color="auto" w:fill="auto"/>
        <w:bidi w:val="0"/>
        <w:spacing w:before="0" w:after="391" w:line="299" w:lineRule="exact"/>
        <w:ind w:left="40" w:right="40" w:firstLine="700"/>
      </w:pPr>
      <w:r>
        <w:rPr>
          <w:lang w:val="ru-RU" w:eastAsia="ru-RU" w:bidi="ru-RU"/>
          <w:sz w:val="24"/>
          <w:szCs w:val="24"/>
          <w:w w:val="100"/>
          <w:spacing w:val="0"/>
          <w:color w:val="000000"/>
          <w:position w:val="0"/>
        </w:rPr>
        <w:t>оператор, акционерное общество «Сбербанк - Автоматизированная система торгов», участие представителя не обеспечил, о времени, дате и месте рассмотрения жалобы уведомлен надлежащим образом,</w:t>
      </w:r>
    </w:p>
    <w:p>
      <w:pPr>
        <w:pStyle w:val="Style26"/>
        <w:widowControl w:val="0"/>
        <w:keepNext/>
        <w:keepLines/>
        <w:shd w:val="clear" w:color="auto" w:fill="auto"/>
        <w:bidi w:val="0"/>
        <w:spacing w:before="0" w:after="0" w:line="260" w:lineRule="exact"/>
        <w:ind w:left="3520" w:right="0" w:firstLine="0"/>
      </w:pPr>
      <w:bookmarkStart w:id="0" w:name="bookmark0"/>
      <w:r>
        <w:rPr>
          <w:lang w:val="ru-RU" w:eastAsia="ru-RU" w:bidi="ru-RU"/>
          <w:w w:val="100"/>
          <w:color w:val="000000"/>
          <w:position w:val="0"/>
        </w:rPr>
        <w:t>012574</w:t>
      </w:r>
      <w:bookmarkEnd w:id="0"/>
      <w:r>
        <w:br w:type="page"/>
      </w:r>
    </w:p>
    <w:p>
      <w:pPr>
        <w:pStyle w:val="Style19"/>
        <w:tabs>
          <w:tab w:leader="none" w:pos="1656" w:val="left"/>
          <w:tab w:leader="none" w:pos="2358" w:val="left"/>
        </w:tabs>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рассмотрев жалобу ООО «МОНОЛИТ» на действия заказчика, МУ «Управление городского хозяйства», при проведении электронного аукциона на право заключения муниципального контракта на выполнение работ по содержанию дорог в городском поселении Гаврилов-Ям Ярославской области в 2021-2023 г. (извещение №0371300087821000020) (далее также - электронный аукцион, аукцион, закупка)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w:t>
      </w:r>
    </w:p>
    <w:p>
      <w:pPr>
        <w:pStyle w:val="Style19"/>
        <w:numPr>
          <w:ilvl w:val="0"/>
          <w:numId w:val="1"/>
        </w:numPr>
        <w:tabs>
          <w:tab w:leader="none" w:pos="1656" w:val="left"/>
          <w:tab w:leader="none" w:pos="2358" w:val="left"/>
          <w:tab w:leader="none" w:pos="1678" w:val="left"/>
        </w:tabs>
        <w:widowControl w:val="0"/>
        <w:keepNext w:val="0"/>
        <w:keepLines w:val="0"/>
        <w:shd w:val="clear" w:color="auto" w:fill="auto"/>
        <w:bidi w:val="0"/>
        <w:spacing w:before="0" w:after="0" w:line="299" w:lineRule="exact"/>
        <w:ind w:left="40" w:right="0" w:firstLine="0"/>
      </w:pPr>
      <w:r>
        <w:rPr>
          <w:lang w:val="ru-RU" w:eastAsia="ru-RU" w:bidi="ru-RU"/>
          <w:sz w:val="24"/>
          <w:szCs w:val="24"/>
          <w:w w:val="100"/>
          <w:spacing w:val="0"/>
          <w:color w:val="000000"/>
          <w:position w:val="0"/>
        </w:rPr>
        <w:t>№</w:t>
        <w:tab/>
        <w:t>44-ФЗ, законодательство о контрактной системе),</w:t>
      </w:r>
    </w:p>
    <w:p>
      <w:pPr>
        <w:pStyle w:val="Style19"/>
        <w:widowControl w:val="0"/>
        <w:keepNext w:val="0"/>
        <w:keepLines w:val="0"/>
        <w:shd w:val="clear" w:color="auto" w:fill="auto"/>
        <w:bidi w:val="0"/>
        <w:spacing w:before="0" w:after="0" w:line="299" w:lineRule="exact"/>
        <w:ind w:left="40" w:right="40" w:firstLine="0"/>
      </w:pPr>
      <w:r>
        <w:rPr>
          <w:lang w:val="ru-RU" w:eastAsia="ru-RU" w:bidi="ru-RU"/>
          <w:sz w:val="24"/>
          <w:szCs w:val="24"/>
          <w:w w:val="100"/>
          <w:spacing w:val="0"/>
          <w:color w:val="000000"/>
          <w:position w:val="0"/>
        </w:rPr>
        <w:t>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утвержденный приказом ФАС России от 19.11.2014 №727/14),</w:t>
      </w:r>
    </w:p>
    <w:p>
      <w:pPr>
        <w:pStyle w:val="Style19"/>
        <w:tabs>
          <w:tab w:leader="none" w:pos="1678" w:val="left"/>
          <w:tab w:leader="none" w:pos="3429" w:val="center"/>
          <w:tab w:leader="none" w:pos="7137" w:val="right"/>
        </w:tabs>
        <w:widowControl w:val="0"/>
        <w:keepNext w:val="0"/>
        <w:keepLines w:val="0"/>
        <w:shd w:val="clear" w:color="auto" w:fill="auto"/>
        <w:bidi w:val="0"/>
        <w:spacing w:before="0" w:after="0" w:line="240" w:lineRule="exact"/>
        <w:ind w:left="160" w:right="0" w:firstLine="0"/>
      </w:pPr>
      <w:r>
        <w:rPr>
          <w:lang w:val="ru-RU" w:eastAsia="ru-RU" w:bidi="ru-RU"/>
          <w:sz w:val="24"/>
          <w:szCs w:val="24"/>
          <w:w w:val="100"/>
          <w:spacing w:val="0"/>
          <w:color w:val="000000"/>
          <w:position w:val="0"/>
        </w:rPr>
        <w:t>. -</w:t>
        <w:tab/>
        <w:t>•</w:t>
        <w:tab/>
      </w:r>
      <w:r>
        <w:rPr>
          <w:lang w:val="ru-RU" w:eastAsia="ru-RU" w:bidi="ru-RU"/>
          <w:vertAlign w:val="superscript"/>
          <w:sz w:val="24"/>
          <w:szCs w:val="24"/>
          <w:w w:val="100"/>
          <w:spacing w:val="0"/>
          <w:color w:val="000000"/>
          <w:position w:val="0"/>
        </w:rPr>
        <w:t>!</w:t>
      </w:r>
      <w:r>
        <w:rPr>
          <w:lang w:val="ru-RU" w:eastAsia="ru-RU" w:bidi="ru-RU"/>
          <w:sz w:val="24"/>
          <w:szCs w:val="24"/>
          <w:w w:val="100"/>
          <w:spacing w:val="0"/>
          <w:color w:val="000000"/>
          <w:position w:val="0"/>
        </w:rPr>
        <w:tab/>
      </w:r>
      <w:r>
        <w:rPr>
          <w:lang w:val="en-US" w:eastAsia="en-US" w:bidi="en-US"/>
          <w:sz w:val="24"/>
          <w:szCs w:val="24"/>
          <w:w w:val="100"/>
          <w:spacing w:val="0"/>
          <w:color w:val="000000"/>
          <w:position w:val="0"/>
        </w:rPr>
        <w:t>i</w:t>
      </w:r>
    </w:p>
    <w:p>
      <w:pPr>
        <w:pStyle w:val="Style19"/>
        <w:widowControl w:val="0"/>
        <w:keepNext w:val="0"/>
        <w:keepLines w:val="0"/>
        <w:shd w:val="clear" w:color="auto" w:fill="auto"/>
        <w:bidi w:val="0"/>
        <w:jc w:val="left"/>
        <w:spacing w:before="0" w:after="257" w:line="240" w:lineRule="exact"/>
        <w:ind w:left="4400" w:right="0" w:firstLine="0"/>
      </w:pPr>
      <w:r>
        <w:rPr>
          <w:lang w:val="ru-RU" w:eastAsia="ru-RU" w:bidi="ru-RU"/>
          <w:sz w:val="24"/>
          <w:szCs w:val="24"/>
          <w:w w:val="100"/>
          <w:spacing w:val="0"/>
          <w:color w:val="000000"/>
          <w:position w:val="0"/>
        </w:rPr>
        <w:t>установила:</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29.10.2021 в Управление Федеральной антимонопольной службы по Ярославской области (далее - Ярославское УФАС России) поступила жалоба ООО «МОНОЛИТ» на действия заказчика, МУ «Управление городского хозяйства», при проведении электронного аукциона на право заключения муниципального контракта на выполнение работ по содержанию дорог в городском поселении Гаврилов-Ям Ярославской области в 2021-2023 г. (извещение № 0371300087821000020) (далее - жалоба).</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Заявитель полагает, что документация о данном электронном аукционе утверждена заказчиком с нарушением требований законодательства о контрактной системе в сфере закупок: в пункте 8.1 раздела 3 «Проект контракта» установлено следующее: «до заключения контракта Подрядчик должен предоставить Заказчику обеспечение исполнения контракта в виде безотзывной банковской гарантии или</w:t>
      </w:r>
    </w:p>
    <w:p>
      <w:pPr>
        <w:pStyle w:val="Style19"/>
        <w:tabs>
          <w:tab w:leader="underscore" w:pos="9389" w:val="left"/>
        </w:tabs>
        <w:widowControl w:val="0"/>
        <w:keepNext w:val="0"/>
        <w:keepLines w:val="0"/>
        <w:shd w:val="clear" w:color="auto" w:fill="auto"/>
        <w:bidi w:val="0"/>
        <w:spacing w:before="0" w:after="0" w:line="299" w:lineRule="exact"/>
        <w:ind w:left="40" w:right="0" w:firstLine="0"/>
      </w:pPr>
      <w:r>
        <w:rPr>
          <w:lang w:val="ru-RU" w:eastAsia="ru-RU" w:bidi="ru-RU"/>
          <w:sz w:val="24"/>
          <w:szCs w:val="24"/>
          <w:w w:val="100"/>
          <w:spacing w:val="0"/>
          <w:color w:val="000000"/>
          <w:position w:val="0"/>
        </w:rPr>
        <w:t>внесением денежных средств на указанный счет Заказчика в размере</w:t>
        <w:tab/>
      </w:r>
    </w:p>
    <w:p>
      <w:pPr>
        <w:pStyle w:val="Style19"/>
        <w:tabs>
          <w:tab w:leader="underscore" w:pos="3507" w:val="left"/>
        </w:tabs>
        <w:widowControl w:val="0"/>
        <w:keepNext w:val="0"/>
        <w:keepLines w:val="0"/>
        <w:shd w:val="clear" w:color="auto" w:fill="auto"/>
        <w:bidi w:val="0"/>
        <w:spacing w:before="0" w:after="0" w:line="299" w:lineRule="exact"/>
        <w:ind w:left="40" w:right="0" w:firstLine="0"/>
      </w:pPr>
      <w:r>
        <w:rPr>
          <w:lang w:val="ru-RU" w:eastAsia="ru-RU" w:bidi="ru-RU"/>
          <w:sz w:val="24"/>
          <w:szCs w:val="24"/>
          <w:w w:val="100"/>
          <w:spacing w:val="0"/>
          <w:color w:val="000000"/>
          <w:position w:val="0"/>
        </w:rPr>
        <w:t>(</w:t>
        <w:tab/>
        <w:t xml:space="preserve">) 10% </w:t>
      </w:r>
      <w:r>
        <w:rPr>
          <w:rStyle w:val="CharStyle28"/>
        </w:rPr>
        <w:t xml:space="preserve">от цены контракта», </w:t>
      </w:r>
      <w:r>
        <w:rPr>
          <w:lang w:val="ru-RU" w:eastAsia="ru-RU" w:bidi="ru-RU"/>
          <w:sz w:val="24"/>
          <w:szCs w:val="24"/>
          <w:w w:val="100"/>
          <w:spacing w:val="0"/>
          <w:color w:val="000000"/>
          <w:position w:val="0"/>
        </w:rPr>
        <w:t>в то время как в</w:t>
      </w:r>
    </w:p>
    <w:p>
      <w:pPr>
        <w:pStyle w:val="Style19"/>
        <w:widowControl w:val="0"/>
        <w:keepNext w:val="0"/>
        <w:keepLines w:val="0"/>
        <w:shd w:val="clear" w:color="auto" w:fill="auto"/>
        <w:bidi w:val="0"/>
        <w:spacing w:before="0" w:after="0" w:line="299" w:lineRule="exact"/>
        <w:ind w:left="40" w:right="40" w:firstLine="0"/>
      </w:pPr>
      <w:r>
        <w:rPr>
          <w:lang w:val="ru-RU" w:eastAsia="ru-RU" w:bidi="ru-RU"/>
          <w:sz w:val="24"/>
          <w:szCs w:val="24"/>
          <w:w w:val="100"/>
          <w:spacing w:val="0"/>
          <w:color w:val="000000"/>
          <w:position w:val="0"/>
        </w:rPr>
        <w:t xml:space="preserve">соответствии с частью 6 статьи 96 Федерального закона от 05.04.2013 № 44-ФЗ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в размере от одной второй процента до тридцати процентов </w:t>
      </w:r>
      <w:r>
        <w:rPr>
          <w:rStyle w:val="CharStyle28"/>
        </w:rPr>
        <w:t xml:space="preserve">начальной (максимальной) цены контракта, </w:t>
      </w:r>
      <w:r>
        <w:rPr>
          <w:lang w:val="ru-RU" w:eastAsia="ru-RU" w:bidi="ru-RU"/>
          <w:sz w:val="24"/>
          <w:szCs w:val="24"/>
          <w:w w:val="100"/>
          <w:spacing w:val="0"/>
          <w:color w:val="000000"/>
          <w:position w:val="0"/>
        </w:rPr>
        <w:t>за исключением случаев, предусмотренных частями 6.1 и 6.2 настоящей статьи.</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Таким образом, заявитель просит признать жалобу обоснованной и выдать заказчику предписание об устранении допущенных нарушений.</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Заказчик представил письменные пояснения по существу жалобы, в которых ссылается на допущенную при формировании аукционной документации техническую ошибку.</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Изучив представленные документы и материалы, Комиссия установила следующее.</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 xml:space="preserve">Заказчиком, МУ «Управление городского хозяйства», в единой информационной системе (официальный сайт в сети «Интернет»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27.10.2021 размещено извещение № 0371300087821000020 о проведении электронного аукциона на право заключения муниципального контракта на выполнение работ по содержанию дорог в городском поселении Гаврилов-Ям Ярославской области в 2021-2023 г. вместе с документацией об электронном аукционе, неотъемлемой частью которой является проект контракта.</w:t>
      </w:r>
    </w:p>
    <w:p>
      <w:pPr>
        <w:pStyle w:val="Style19"/>
        <w:widowControl w:val="0"/>
        <w:keepNext w:val="0"/>
        <w:keepLines w:val="0"/>
        <w:shd w:val="clear" w:color="auto" w:fill="auto"/>
        <w:bidi w:val="0"/>
        <w:spacing w:before="0" w:after="0" w:line="299" w:lineRule="exact"/>
        <w:ind w:left="40" w:right="0" w:firstLine="700"/>
      </w:pPr>
      <w:r>
        <w:rPr>
          <w:lang w:val="ru-RU" w:eastAsia="ru-RU" w:bidi="ru-RU"/>
          <w:sz w:val="24"/>
          <w:szCs w:val="24"/>
          <w:w w:val="100"/>
          <w:spacing w:val="0"/>
          <w:color w:val="000000"/>
          <w:position w:val="0"/>
        </w:rPr>
        <w:t>Начальная (максимальная) цена контракта составила 25 345 413,65 рублей.</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Согласно части 1 статьи 59 Федерального закона от 05.04.2013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В силу пункта 8 части 1 статьи 64 Федерального закона от 05.04.2013 №44- ФЗ документация об электронном аукционе наряду с информацией, указанной в извещении о проведении такого аукциона, должна содержать в числе прочего информацию о размере обеспечения исполнения контракта, сроке и порядке предоставления указанного обеспечения, требованиях к обеспечению исполнения контракта.</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 xml:space="preserve">В соответствии с частью 6 статьи 96 Федерального закона от 05.04.2013 № 44-ФЗ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в размере от одной второй процента до тридцати процентов </w:t>
      </w:r>
      <w:r>
        <w:rPr>
          <w:rStyle w:val="CharStyle28"/>
        </w:rPr>
        <w:t xml:space="preserve">начальной (максимальной) цены контракта, </w:t>
      </w:r>
      <w:r>
        <w:rPr>
          <w:lang w:val="ru-RU" w:eastAsia="ru-RU" w:bidi="ru-RU"/>
          <w:sz w:val="24"/>
          <w:szCs w:val="24"/>
          <w:w w:val="100"/>
          <w:spacing w:val="0"/>
          <w:color w:val="000000"/>
          <w:position w:val="0"/>
        </w:rPr>
        <w:t>за исключением случаев, предусмотренных частями 6.1 и 6.2 настоящей статьи.</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В силу части 4 статьи 64 Федерального закона от 05.04.2013 № 44-ФЗ к документации об электронном аукционе прилагается проект контракта, который является неотъемлемой частью этой документации.</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 xml:space="preserve">Пунктом 8.1 раздела 1 «Информационная карта аукциона» документации об электронном аукционе установлено, что размер обеспечения исполнения контракта равен 2 534 541,36 руб., что, в свою очередь, составляет 10 % </w:t>
      </w:r>
      <w:r>
        <w:rPr>
          <w:rStyle w:val="CharStyle28"/>
        </w:rPr>
        <w:t>от начальной (максимальной) цены контракта.</w:t>
      </w:r>
    </w:p>
    <w:p>
      <w:pPr>
        <w:pStyle w:val="Style19"/>
        <w:widowControl w:val="0"/>
        <w:keepNext w:val="0"/>
        <w:keepLines w:val="0"/>
        <w:shd w:val="clear" w:color="auto" w:fill="auto"/>
        <w:bidi w:val="0"/>
        <w:spacing w:before="0" w:after="0" w:line="299" w:lineRule="exact"/>
        <w:ind w:left="40" w:right="40" w:firstLine="700"/>
      </w:pPr>
      <w:r>
        <w:rPr>
          <w:lang w:val="ru-RU" w:eastAsia="ru-RU" w:bidi="ru-RU"/>
          <w:sz w:val="24"/>
          <w:szCs w:val="24"/>
          <w:w w:val="100"/>
          <w:spacing w:val="0"/>
          <w:color w:val="000000"/>
          <w:position w:val="0"/>
        </w:rPr>
        <w:t>В то же время в пункте 8.1 раздела 3 «Проект контракта» предусмотрено следующее: «До заключения контракта Подрядчик должен предоставить Заказчику обеспечение исполнения контракта в виде безотзывной банковской гарантии или</w:t>
      </w:r>
    </w:p>
    <w:p>
      <w:pPr>
        <w:pStyle w:val="Style19"/>
        <w:tabs>
          <w:tab w:leader="underscore" w:pos="9400" w:val="left"/>
        </w:tabs>
        <w:widowControl w:val="0"/>
        <w:keepNext w:val="0"/>
        <w:keepLines w:val="0"/>
        <w:shd w:val="clear" w:color="auto" w:fill="auto"/>
        <w:bidi w:val="0"/>
        <w:spacing w:before="0" w:after="0" w:line="299" w:lineRule="exact"/>
        <w:ind w:left="40" w:right="0" w:firstLine="0"/>
      </w:pPr>
      <w:r>
        <w:rPr>
          <w:lang w:val="ru-RU" w:eastAsia="ru-RU" w:bidi="ru-RU"/>
          <w:sz w:val="24"/>
          <w:szCs w:val="24"/>
          <w:w w:val="100"/>
          <w:spacing w:val="0"/>
          <w:color w:val="000000"/>
          <w:position w:val="0"/>
        </w:rPr>
        <w:t>внесением денежных средств на указанный счет Заказчика в размере</w:t>
        <w:tab/>
      </w:r>
    </w:p>
    <w:p>
      <w:pPr>
        <w:pStyle w:val="Style6"/>
        <w:tabs>
          <w:tab w:leader="underscore" w:pos="3539" w:val="center"/>
          <w:tab w:leader="none" w:pos="3719" w:val="left"/>
        </w:tabs>
        <w:widowControl w:val="0"/>
        <w:keepNext w:val="0"/>
        <w:keepLines w:val="0"/>
        <w:shd w:val="clear" w:color="auto" w:fill="auto"/>
        <w:bidi w:val="0"/>
        <w:spacing w:before="0" w:after="0" w:line="299" w:lineRule="exact"/>
        <w:ind w:left="40" w:right="0" w:firstLine="0"/>
      </w:pPr>
      <w:r>
        <w:rPr>
          <w:lang w:val="ru-RU" w:eastAsia="ru-RU" w:bidi="ru-RU"/>
          <w:sz w:val="24"/>
          <w:szCs w:val="24"/>
          <w:w w:val="100"/>
          <w:spacing w:val="0"/>
          <w:color w:val="000000"/>
          <w:position w:val="0"/>
        </w:rPr>
        <w:t>(</w:t>
        <w:tab/>
        <w:t>)</w:t>
        <w:tab/>
        <w:t>10% от цены контракта».</w:t>
      </w:r>
    </w:p>
    <w:p>
      <w:pPr>
        <w:pStyle w:val="Style19"/>
        <w:widowControl w:val="0"/>
        <w:keepNext w:val="0"/>
        <w:keepLines w:val="0"/>
        <w:shd w:val="clear" w:color="auto" w:fill="auto"/>
        <w:bidi w:val="0"/>
        <w:spacing w:before="0" w:after="0" w:line="299" w:lineRule="exact"/>
        <w:ind w:left="40" w:right="0" w:firstLine="700"/>
      </w:pPr>
      <w:r>
        <w:rPr>
          <w:lang w:val="ru-RU" w:eastAsia="ru-RU" w:bidi="ru-RU"/>
          <w:sz w:val="24"/>
          <w:szCs w:val="24"/>
          <w:w w:val="100"/>
          <w:spacing w:val="0"/>
          <w:color w:val="000000"/>
          <w:position w:val="0"/>
        </w:rPr>
        <w:t xml:space="preserve">Соответственно, в приведенных положениях документации об электронном аукционе информация о размере обеспечения исполнения контракта установлена заказчиком противоречивым, исключающим возможность однозначного толкования участниками закупки условий закупки образом, что, свою очередь, является </w:t>
      </w:r>
      <w:r>
        <w:rPr>
          <w:rStyle w:val="CharStyle28"/>
        </w:rPr>
        <w:t>нарушением пункта 8 части 1 статьи 64 Федерального закона от</w:t>
      </w:r>
    </w:p>
    <w:p>
      <w:pPr>
        <w:pStyle w:val="Style29"/>
        <w:numPr>
          <w:ilvl w:val="0"/>
          <w:numId w:val="3"/>
        </w:numPr>
        <w:tabs>
          <w:tab w:leader="none" w:pos="1298" w:val="left"/>
        </w:tabs>
        <w:widowControl w:val="0"/>
        <w:keepNext/>
        <w:keepLines/>
        <w:shd w:val="clear" w:color="auto" w:fill="auto"/>
        <w:bidi w:val="0"/>
        <w:spacing w:before="0" w:after="0"/>
        <w:ind w:left="20" w:right="0" w:firstLine="0"/>
      </w:pPr>
      <w:bookmarkStart w:id="1" w:name="bookmark1"/>
      <w:r>
        <w:rPr>
          <w:lang w:val="ru-RU" w:eastAsia="ru-RU" w:bidi="ru-RU"/>
          <w:sz w:val="24"/>
          <w:szCs w:val="24"/>
          <w:w w:val="100"/>
          <w:spacing w:val="0"/>
          <w:color w:val="000000"/>
          <w:position w:val="0"/>
        </w:rPr>
        <w:t>№44-ФЗ.</w:t>
      </w:r>
      <w:bookmarkEnd w:id="1"/>
    </w:p>
    <w:p>
      <w:pPr>
        <w:pStyle w:val="Style19"/>
        <w:widowControl w:val="0"/>
        <w:keepNext w:val="0"/>
        <w:keepLines w:val="0"/>
        <w:shd w:val="clear" w:color="auto" w:fill="auto"/>
        <w:bidi w:val="0"/>
        <w:spacing w:before="0" w:after="227" w:line="299" w:lineRule="exact"/>
        <w:ind w:left="20" w:right="20" w:firstLine="720"/>
      </w:pPr>
      <w:r>
        <w:rPr>
          <w:lang w:val="ru-RU" w:eastAsia="ru-RU" w:bidi="ru-RU"/>
          <w:sz w:val="24"/>
          <w:szCs w:val="24"/>
          <w:w w:val="100"/>
          <w:spacing w:val="0"/>
          <w:color w:val="000000"/>
          <w:position w:val="0"/>
        </w:rPr>
        <w:t>На основании изложенного и руководствуясь частью 8 статьи 106 Федерального закона от 05.04.2013г. № 44-ФЗ, Административным регламентом, утвержденным приказом ФАС России от 19.11.2014 № 727/14, Комиссия Ярославского У ФАС России по контролю в сфере закупок</w:t>
      </w:r>
    </w:p>
    <w:p>
      <w:pPr>
        <w:pStyle w:val="Style19"/>
        <w:widowControl w:val="0"/>
        <w:keepNext w:val="0"/>
        <w:keepLines w:val="0"/>
        <w:shd w:val="clear" w:color="auto" w:fill="auto"/>
        <w:bidi w:val="0"/>
        <w:jc w:val="left"/>
        <w:spacing w:before="0" w:after="260" w:line="240" w:lineRule="exact"/>
        <w:ind w:left="4600" w:right="0" w:firstLine="0"/>
      </w:pPr>
      <w:r>
        <w:rPr>
          <w:lang w:val="ru-RU" w:eastAsia="ru-RU" w:bidi="ru-RU"/>
          <w:sz w:val="24"/>
          <w:szCs w:val="24"/>
          <w:w w:val="100"/>
          <w:spacing w:val="0"/>
          <w:color w:val="000000"/>
          <w:position w:val="0"/>
        </w:rPr>
        <w:t>решила:</w:t>
      </w:r>
    </w:p>
    <w:p>
      <w:pPr>
        <w:pStyle w:val="Style19"/>
        <w:numPr>
          <w:ilvl w:val="0"/>
          <w:numId w:val="5"/>
        </w:numPr>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 Признать жалобу общества с ограниченной ответственностью «МОНОЛИТ» (ИНН 9721080143, ОГРН 1197746279059) на действия заказчика, муниципального учреждения «Управление городского хозяйства» (ИНН 7616007670, ОГРН 1067609020280), при проведении электронного аукциона на право заключения муниципального контракта на выполнение работ по содержанию дорог в городском поселении Гаврилов-Ям Ярославской области в 2021-2023 г. (извещение № 0371300087821000020) обоснованной.</w:t>
      </w:r>
    </w:p>
    <w:p>
      <w:pPr>
        <w:pStyle w:val="Style19"/>
        <w:numPr>
          <w:ilvl w:val="0"/>
          <w:numId w:val="5"/>
        </w:numPr>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 Признать заказчика, муниципальное учреждение «Управление городского хозяйства» (ИНН 7616007670, ОГРН 1067609020280), нарушившим пункт 8 части 1 статьи 64 Федерального закона от 05.04.2013 №44-ФЗ.</w:t>
      </w:r>
    </w:p>
    <w:p>
      <w:pPr>
        <w:pStyle w:val="Style19"/>
        <w:numPr>
          <w:ilvl w:val="0"/>
          <w:numId w:val="5"/>
        </w:numPr>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 Выдать заказчику, муниципальному учреждению «Управление городского хозяйства» (ИНН 7616007670, ОГРН 1067609020280), обязательное для исполнения предписание об устранении выявленных нарушений.</w:t>
      </w:r>
    </w:p>
    <w:p>
      <w:pPr>
        <w:pStyle w:val="Style19"/>
        <w:numPr>
          <w:ilvl w:val="0"/>
          <w:numId w:val="5"/>
        </w:numPr>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 Передать материалы решения уполномоченному должностному лицу Ярославского У ФАС России для принятия мер в соответствии с требованиями Кодекса Российской Федерации об административных правонарушениях.</w:t>
      </w:r>
    </w:p>
    <w:p>
      <w:pPr>
        <w:pStyle w:val="Style19"/>
        <w:widowControl w:val="0"/>
        <w:keepNext w:val="0"/>
        <w:keepLines w:val="0"/>
        <w:shd w:val="clear" w:color="auto" w:fill="auto"/>
        <w:bidi w:val="0"/>
        <w:spacing w:before="0" w:after="587" w:line="299" w:lineRule="exact"/>
        <w:ind w:left="20" w:right="2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9"/>
        <w:widowControl w:val="0"/>
        <w:keepNext w:val="0"/>
        <w:keepLines w:val="0"/>
        <w:shd w:val="clear" w:color="auto" w:fill="auto"/>
        <w:bidi w:val="0"/>
        <w:spacing w:before="0" w:after="304" w:line="240" w:lineRule="exact"/>
        <w:ind w:left="20" w:right="0" w:firstLine="0"/>
      </w:pPr>
      <w:r>
        <w:rPr>
          <w:lang w:val="ru-RU" w:eastAsia="ru-RU" w:bidi="ru-RU"/>
          <w:sz w:val="24"/>
          <w:szCs w:val="24"/>
          <w:w w:val="100"/>
          <w:spacing w:val="0"/>
          <w:color w:val="000000"/>
          <w:position w:val="0"/>
        </w:rPr>
        <w:t>Председатель Комиссии:</w:t>
      </w:r>
    </w:p>
    <w:p>
      <w:pPr>
        <w:pStyle w:val="Style19"/>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Члены Комиссии:</w:t>
      </w:r>
    </w:p>
    <w:sectPr>
      <w:footnotePr>
        <w:pos w:val="pageBottom"/>
        <w:numFmt w:val="decimal"/>
        <w:numRestart w:val="continuous"/>
      </w:footnotePr>
      <w:type w:val="continuous"/>
      <w:pgSz w:w="11906" w:h="16838"/>
      <w:pgMar w:top="1188" w:left="647" w:right="647" w:bottom="691" w:header="0" w:footer="3" w:gutter="118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3"/>
      <w:numFmt w:val="decimal"/>
      <w:lvlText w:val="05.04.%1"/>
      <w:rPr>
        <w:lang w:val="ru-RU" w:eastAsia="ru-RU" w:bidi="ru-RU"/>
        <w:b/>
        <w:bCs/>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bCs/>
      <w:i w:val="0"/>
      <w:iCs w:val="0"/>
      <w:u w:val="none"/>
      <w:strike w:val="0"/>
      <w:smallCaps w:val="0"/>
      <w:sz w:val="20"/>
      <w:szCs w:val="20"/>
      <w:rFonts w:ascii="Times New Roman" w:eastAsia="Times New Roman" w:hAnsi="Times New Roman" w:cs="Times New Roman"/>
      <w:spacing w:val="-1"/>
    </w:rPr>
  </w:style>
  <w:style w:type="character" w:customStyle="1" w:styleId="CharStyle5">
    <w:name w:val="Основной текст (5) Exact"/>
    <w:basedOn w:val="CharStyle4"/>
    <w:rPr>
      <w:lang w:val="ru-RU" w:eastAsia="ru-RU" w:bidi="ru-RU"/>
      <w:w w:val="100"/>
      <w:color w:val="000000"/>
      <w:position w:val="0"/>
    </w:rPr>
  </w:style>
  <w:style w:type="character" w:customStyle="1" w:styleId="CharStyle7">
    <w:name w:val="Основной текст (2) Exact"/>
    <w:basedOn w:val="DefaultParagraphFont"/>
    <w:rPr>
      <w:b/>
      <w:bCs/>
      <w:i w:val="0"/>
      <w:iCs w:val="0"/>
      <w:u w:val="none"/>
      <w:strike w:val="0"/>
      <w:smallCaps w:val="0"/>
      <w:sz w:val="23"/>
      <w:szCs w:val="23"/>
      <w:rFonts w:ascii="Times New Roman" w:eastAsia="Times New Roman" w:hAnsi="Times New Roman" w:cs="Times New Roman"/>
      <w:spacing w:val="4"/>
    </w:rPr>
  </w:style>
  <w:style w:type="character" w:customStyle="1" w:styleId="CharStyle8">
    <w:name w:val="Основной текст (2) Exact"/>
    <w:basedOn w:val="CharStyle18"/>
    <w:rPr>
      <w:sz w:val="23"/>
      <w:szCs w:val="23"/>
      <w:spacing w:val="4"/>
    </w:rPr>
  </w:style>
  <w:style w:type="character" w:customStyle="1" w:styleId="CharStyle10">
    <w:name w:val="Основной текст (6) Exact"/>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6) Exact"/>
    <w:basedOn w:val="CharStyle10"/>
    <w:rPr>
      <w:lang w:val="ru-RU" w:eastAsia="ru-RU" w:bidi="ru-RU"/>
      <w:w w:val="100"/>
      <w:spacing w:val="0"/>
      <w:color w:val="000000"/>
      <w:position w:val="0"/>
    </w:rPr>
  </w:style>
  <w:style w:type="character" w:customStyle="1" w:styleId="CharStyle12">
    <w:name w:val="Основной текст (6) Exact"/>
    <w:basedOn w:val="CharStyle10"/>
    <w:rPr>
      <w:lang w:val="ru-RU" w:eastAsia="ru-RU" w:bidi="ru-RU"/>
      <w:w w:val="100"/>
      <w:spacing w:val="0"/>
      <w:color w:val="000000"/>
      <w:position w:val="0"/>
    </w:rPr>
  </w:style>
  <w:style w:type="character" w:customStyle="1" w:styleId="CharStyle14">
    <w:name w:val="Основной текст (7) Exact"/>
    <w:basedOn w:val="DefaultParagraphFont"/>
    <w:link w:val="Style13"/>
    <w:rPr>
      <w:lang w:val="en-US" w:eastAsia="en-US" w:bidi="en-US"/>
      <w:b w:val="0"/>
      <w:bCs w:val="0"/>
      <w:i/>
      <w:iCs/>
      <w:u w:val="none"/>
      <w:strike w:val="0"/>
      <w:smallCaps w:val="0"/>
      <w:sz w:val="22"/>
      <w:szCs w:val="22"/>
      <w:rFonts w:ascii="Impact" w:eastAsia="Impact" w:hAnsi="Impact" w:cs="Impact"/>
      <w:spacing w:val="-23"/>
    </w:rPr>
  </w:style>
  <w:style w:type="character" w:customStyle="1" w:styleId="CharStyle15">
    <w:name w:val="Основной текст (7) Exact"/>
    <w:basedOn w:val="CharStyle14"/>
    <w:rPr>
      <w:w w:val="100"/>
      <w:color w:val="000000"/>
      <w:position w:val="0"/>
    </w:rPr>
  </w:style>
  <w:style w:type="character" w:customStyle="1" w:styleId="CharStyle16">
    <w:name w:val="Основной текст (7) Exact"/>
    <w:basedOn w:val="CharStyle14"/>
    <w:rPr>
      <w:u w:val="single"/>
      <w:w w:val="100"/>
      <w:color w:val="000000"/>
      <w:position w:val="0"/>
    </w:rPr>
  </w:style>
  <w:style w:type="character" w:customStyle="1" w:styleId="CharStyle17">
    <w:name w:val="Основной текст (5) Exact"/>
    <w:basedOn w:val="CharStyle4"/>
    <w:rPr>
      <w:lang w:val="en-US" w:eastAsia="en-US" w:bidi="en-US"/>
      <w:w w:val="100"/>
      <w:color w:val="000000"/>
      <w:position w:val="0"/>
    </w:rPr>
  </w:style>
  <w:style w:type="character" w:customStyle="1" w:styleId="CharStyle18">
    <w:name w:val="Основной текст (2)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20">
    <w:name w:val="Основной текст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2">
    <w:name w:val="Основной текст (3)_"/>
    <w:basedOn w:val="DefaultParagraphFont"/>
    <w:link w:val="Style21"/>
    <w:rPr>
      <w:b w:val="0"/>
      <w:bCs w:val="0"/>
      <w:i w:val="0"/>
      <w:iCs w:val="0"/>
      <w:u w:val="none"/>
      <w:strike w:val="0"/>
      <w:smallCaps w:val="0"/>
      <w:sz w:val="11"/>
      <w:szCs w:val="11"/>
      <w:rFonts w:ascii="Times New Roman" w:eastAsia="Times New Roman" w:hAnsi="Times New Roman" w:cs="Times New Roman"/>
    </w:rPr>
  </w:style>
  <w:style w:type="character" w:customStyle="1" w:styleId="CharStyle24">
    <w:name w:val="Основной текст (4)_"/>
    <w:basedOn w:val="DefaultParagraphFont"/>
    <w:link w:val="Style23"/>
    <w:rPr>
      <w:b w:val="0"/>
      <w:bCs w:val="0"/>
      <w:i w:val="0"/>
      <w:iCs w:val="0"/>
      <w:u w:val="none"/>
      <w:strike w:val="0"/>
      <w:smallCaps w:val="0"/>
      <w:sz w:val="8"/>
      <w:szCs w:val="8"/>
      <w:rFonts w:ascii="Times New Roman" w:eastAsia="Times New Roman" w:hAnsi="Times New Roman" w:cs="Times New Roman"/>
    </w:rPr>
  </w:style>
  <w:style w:type="character" w:customStyle="1" w:styleId="CharStyle25">
    <w:name w:val="Основной текст (4)"/>
    <w:basedOn w:val="CharStyle24"/>
    <w:rPr>
      <w:lang w:val="ru-RU" w:eastAsia="ru-RU" w:bidi="ru-RU"/>
      <w:w w:val="100"/>
      <w:spacing w:val="0"/>
      <w:color w:val="000000"/>
      <w:position w:val="0"/>
    </w:rPr>
  </w:style>
  <w:style w:type="character" w:customStyle="1" w:styleId="CharStyle27">
    <w:name w:val="Заголовок №1_"/>
    <w:basedOn w:val="DefaultParagraphFont"/>
    <w:link w:val="Style26"/>
    <w:rPr>
      <w:b/>
      <w:bCs/>
      <w:i w:val="0"/>
      <w:iCs w:val="0"/>
      <w:u w:val="none"/>
      <w:strike w:val="0"/>
      <w:smallCaps w:val="0"/>
      <w:sz w:val="26"/>
      <w:szCs w:val="26"/>
      <w:rFonts w:ascii="Times New Roman" w:eastAsia="Times New Roman" w:hAnsi="Times New Roman" w:cs="Times New Roman"/>
      <w:spacing w:val="50"/>
    </w:rPr>
  </w:style>
  <w:style w:type="character" w:customStyle="1" w:styleId="CharStyle28">
    <w:name w:val="Основной текст + Полужирный"/>
    <w:basedOn w:val="CharStyle20"/>
    <w:rPr>
      <w:lang w:val="ru-RU" w:eastAsia="ru-RU" w:bidi="ru-RU"/>
      <w:b/>
      <w:bCs/>
      <w:sz w:val="24"/>
      <w:szCs w:val="24"/>
      <w:w w:val="100"/>
      <w:spacing w:val="0"/>
      <w:color w:val="000000"/>
      <w:position w:val="0"/>
    </w:rPr>
  </w:style>
  <w:style w:type="character" w:customStyle="1" w:styleId="CharStyle30">
    <w:name w:val="Заголовок №2_"/>
    <w:basedOn w:val="DefaultParagraphFont"/>
    <w:link w:val="Style29"/>
    <w:rPr>
      <w:b/>
      <w:bCs/>
      <w:i w:val="0"/>
      <w:iCs w:val="0"/>
      <w:u w:val="none"/>
      <w:strike w:val="0"/>
      <w:smallCaps w:val="0"/>
      <w:rFonts w:ascii="Times New Roman" w:eastAsia="Times New Roman" w:hAnsi="Times New Roman" w:cs="Times New Roman"/>
    </w:rPr>
  </w:style>
  <w:style w:type="paragraph" w:customStyle="1" w:styleId="Style3">
    <w:name w:val="Основной текст (5)"/>
    <w:basedOn w:val="Normal"/>
    <w:link w:val="CharStyle4"/>
    <w:pPr>
      <w:widowControl w:val="0"/>
      <w:shd w:val="clear" w:color="auto" w:fill="FFFFFF"/>
      <w:jc w:val="center"/>
      <w:spacing w:after="60" w:line="263" w:lineRule="exact"/>
    </w:pPr>
    <w:rPr>
      <w:b/>
      <w:bCs/>
      <w:i w:val="0"/>
      <w:iCs w:val="0"/>
      <w:u w:val="none"/>
      <w:strike w:val="0"/>
      <w:smallCaps w:val="0"/>
      <w:sz w:val="20"/>
      <w:szCs w:val="20"/>
      <w:rFonts w:ascii="Times New Roman" w:eastAsia="Times New Roman" w:hAnsi="Times New Roman" w:cs="Times New Roman"/>
      <w:spacing w:val="-1"/>
    </w:rPr>
  </w:style>
  <w:style w:type="paragraph" w:customStyle="1" w:styleId="Style6">
    <w:name w:val="Основной текст (2)"/>
    <w:basedOn w:val="Normal"/>
    <w:link w:val="CharStyle18"/>
    <w:pPr>
      <w:widowControl w:val="0"/>
      <w:shd w:val="clear" w:color="auto" w:fill="FFFFFF"/>
      <w:jc w:val="both"/>
      <w:spacing w:after="240" w:line="306"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6)"/>
    <w:basedOn w:val="Normal"/>
    <w:link w:val="CharStyle10"/>
    <w:pPr>
      <w:widowControl w:val="0"/>
      <w:shd w:val="clear" w:color="auto" w:fill="FFFFFF"/>
      <w:jc w:val="center"/>
      <w:spacing w:before="60" w:after="180" w:line="209"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3">
    <w:name w:val="Основной текст (7)"/>
    <w:basedOn w:val="Normal"/>
    <w:link w:val="CharStyle14"/>
    <w:pPr>
      <w:widowControl w:val="0"/>
      <w:shd w:val="clear" w:color="auto" w:fill="FFFFFF"/>
      <w:jc w:val="right"/>
      <w:spacing w:before="180" w:after="300" w:line="0" w:lineRule="exact"/>
    </w:pPr>
    <w:rPr>
      <w:lang w:val="en-US" w:eastAsia="en-US" w:bidi="en-US"/>
      <w:b w:val="0"/>
      <w:bCs w:val="0"/>
      <w:i/>
      <w:iCs/>
      <w:u w:val="none"/>
      <w:strike w:val="0"/>
      <w:smallCaps w:val="0"/>
      <w:sz w:val="22"/>
      <w:szCs w:val="22"/>
      <w:rFonts w:ascii="Impact" w:eastAsia="Impact" w:hAnsi="Impact" w:cs="Impact"/>
      <w:spacing w:val="-23"/>
    </w:rPr>
  </w:style>
  <w:style w:type="paragraph" w:customStyle="1" w:styleId="Style19">
    <w:name w:val="Основной текст"/>
    <w:basedOn w:val="Normal"/>
    <w:link w:val="CharStyle20"/>
    <w:pPr>
      <w:widowControl w:val="0"/>
      <w:shd w:val="clear" w:color="auto" w:fill="FFFFFF"/>
      <w:jc w:val="both"/>
      <w:spacing w:before="240" w:after="60" w:line="0" w:lineRule="exact"/>
      <w:ind w:hanging="3580"/>
    </w:pPr>
    <w:rPr>
      <w:b w:val="0"/>
      <w:bCs w:val="0"/>
      <w:i w:val="0"/>
      <w:iCs w:val="0"/>
      <w:u w:val="none"/>
      <w:strike w:val="0"/>
      <w:smallCaps w:val="0"/>
      <w:rFonts w:ascii="Times New Roman" w:eastAsia="Times New Roman" w:hAnsi="Times New Roman" w:cs="Times New Roman"/>
    </w:rPr>
  </w:style>
  <w:style w:type="paragraph" w:customStyle="1" w:styleId="Style21">
    <w:name w:val="Основной текст (3)"/>
    <w:basedOn w:val="Normal"/>
    <w:link w:val="CharStyle22"/>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rPr>
  </w:style>
  <w:style w:type="paragraph" w:customStyle="1" w:styleId="Style23">
    <w:name w:val="Основной текст (4)"/>
    <w:basedOn w:val="Normal"/>
    <w:link w:val="CharStyle24"/>
    <w:pPr>
      <w:widowControl w:val="0"/>
      <w:shd w:val="clear" w:color="auto" w:fill="FFFFFF"/>
      <w:spacing w:before="240"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jc w:val="both"/>
      <w:outlineLvl w:val="0"/>
      <w:spacing w:before="360" w:line="0" w:lineRule="exact"/>
    </w:pPr>
    <w:rPr>
      <w:b/>
      <w:bCs/>
      <w:i w:val="0"/>
      <w:iCs w:val="0"/>
      <w:u w:val="none"/>
      <w:strike w:val="0"/>
      <w:smallCaps w:val="0"/>
      <w:sz w:val="26"/>
      <w:szCs w:val="26"/>
      <w:rFonts w:ascii="Times New Roman" w:eastAsia="Times New Roman" w:hAnsi="Times New Roman" w:cs="Times New Roman"/>
      <w:spacing w:val="50"/>
    </w:rPr>
  </w:style>
  <w:style w:type="paragraph" w:customStyle="1" w:styleId="Style29">
    <w:name w:val="Заголовок №2"/>
    <w:basedOn w:val="Normal"/>
    <w:link w:val="CharStyle30"/>
    <w:pPr>
      <w:widowControl w:val="0"/>
      <w:shd w:val="clear" w:color="auto" w:fill="FFFFFF"/>
      <w:jc w:val="both"/>
      <w:outlineLvl w:val="1"/>
      <w:spacing w:line="299"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