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206"/>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284"/>
        <w:ind w:left="0" w:right="0" w:firstLine="0"/>
      </w:pPr>
      <w:r>
        <w:rPr>
          <w:rStyle w:val="CharStyle9"/>
          <w:b w:val="0"/>
          <w:bCs w:val="0"/>
        </w:rPr>
        <w:t xml:space="preserve">УПРАВЛЕНИЕ </w:t>
      </w:r>
      <w:r>
        <w:rPr>
          <w:lang w:val="ru-RU" w:eastAsia="ru-RU" w:bidi="ru-RU"/>
          <w:sz w:val="24"/>
          <w:szCs w:val="24"/>
          <w:w w:val="100"/>
          <w:spacing w:val="0"/>
          <w:color w:val="000000"/>
          <w:position w:val="0"/>
        </w:rPr>
        <w:t>Федеральной антимонопольной службы по Вологодской области</w:t>
      </w:r>
    </w:p>
    <w:p>
      <w:pPr>
        <w:pStyle w:val="Style3"/>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160000, г. Вологда, ул. Пушкинская, 25, тел. (8172)72-99-70; факс (8172)72-46-64</w:t>
      </w:r>
    </w:p>
    <w:p>
      <w:pPr>
        <w:pStyle w:val="Style3"/>
        <w:widowControl w:val="0"/>
        <w:keepNext w:val="0"/>
        <w:keepLines w:val="0"/>
        <w:shd w:val="clear" w:color="auto" w:fill="auto"/>
        <w:bidi w:val="0"/>
        <w:spacing w:before="0" w:after="0" w:line="240" w:lineRule="exact"/>
        <w:ind w:left="20" w:right="0" w:firstLine="0"/>
      </w:pPr>
      <w:r>
        <w:rPr>
          <w:lang w:val="en-US" w:eastAsia="en-US" w:bidi="en-US"/>
          <w:sz w:val="24"/>
          <w:szCs w:val="24"/>
          <w:w w:val="100"/>
          <w:spacing w:val="0"/>
          <w:color w:val="000000"/>
          <w:position w:val="0"/>
        </w:rPr>
        <w:t xml:space="preserve">e-mail: </w:t>
      </w:r>
      <w:r>
        <w:fldChar w:fldCharType="begin"/>
      </w:r>
      <w:r>
        <w:rPr>
          <w:rStyle w:val="CharStyle11"/>
        </w:rPr>
        <w:instrText> HYPERLINK "mailto:to35@fas.gov.ru" </w:instrText>
      </w:r>
      <w:r>
        <w:fldChar w:fldCharType="separate"/>
      </w:r>
      <w:r>
        <w:rPr>
          <w:rStyle w:val="Hyperlink"/>
        </w:rPr>
        <w:t>to35@fas.gov.ru</w:t>
      </w:r>
      <w:r>
        <w:fldChar w:fldCharType="end"/>
      </w:r>
    </w:p>
    <w:p>
      <w:pPr>
        <w:pStyle w:val="Style3"/>
        <w:widowControl w:val="0"/>
        <w:keepNext w:val="0"/>
        <w:keepLines w:val="0"/>
        <w:shd w:val="clear" w:color="auto" w:fill="auto"/>
        <w:bidi w:val="0"/>
        <w:spacing w:before="0" w:after="256" w:line="240" w:lineRule="exact"/>
        <w:ind w:left="20" w:right="0" w:firstLine="0"/>
      </w:pPr>
      <w:r>
        <w:fldChar w:fldCharType="begin"/>
      </w:r>
      <w:r>
        <w:rPr>
          <w:color w:val="000000"/>
        </w:rPr>
        <w:instrText> HYPERLINK "http://vologda.fas.gov.ru" </w:instrText>
      </w:r>
      <w:r>
        <w:fldChar w:fldCharType="separate"/>
      </w:r>
      <w:r>
        <w:rPr>
          <w:rStyle w:val="Hyperlink"/>
          <w:lang w:val="en-US" w:eastAsia="en-US" w:bidi="en-US"/>
          <w:sz w:val="24"/>
          <w:szCs w:val="24"/>
          <w:w w:val="100"/>
          <w:spacing w:val="0"/>
          <w:position w:val="0"/>
        </w:rPr>
        <w:t>http://vologda.fas.gov.ru</w:t>
      </w:r>
      <w:r>
        <w:fldChar w:fldCharType="end"/>
      </w:r>
    </w:p>
    <w:p>
      <w:pPr>
        <w:pStyle w:val="Style7"/>
        <w:widowControl w:val="0"/>
        <w:keepNext w:val="0"/>
        <w:keepLines w:val="0"/>
        <w:shd w:val="clear" w:color="auto" w:fill="auto"/>
        <w:bidi w:val="0"/>
        <w:jc w:val="left"/>
        <w:spacing w:before="0" w:after="0"/>
        <w:ind w:left="4560" w:right="0" w:firstLine="0"/>
      </w:pPr>
      <w:r>
        <w:rPr>
          <w:lang w:val="ru-RU" w:eastAsia="ru-RU" w:bidi="ru-RU"/>
          <w:sz w:val="24"/>
          <w:szCs w:val="24"/>
          <w:w w:val="100"/>
          <w:spacing w:val="0"/>
          <w:color w:val="000000"/>
          <w:position w:val="0"/>
        </w:rPr>
        <w:t>Заявитель:</w:t>
      </w:r>
    </w:p>
    <w:p>
      <w:pPr>
        <w:pStyle w:val="Style3"/>
        <w:widowControl w:val="0"/>
        <w:keepNext w:val="0"/>
        <w:keepLines w:val="0"/>
        <w:shd w:val="clear" w:color="auto" w:fill="auto"/>
        <w:bidi w:val="0"/>
        <w:jc w:val="left"/>
        <w:spacing w:before="0" w:after="240" w:line="295" w:lineRule="exact"/>
        <w:ind w:left="4560" w:right="1040" w:firstLine="0"/>
      </w:pPr>
      <w:r>
        <w:rPr>
          <w:lang w:val="ru-RU" w:eastAsia="ru-RU" w:bidi="ru-RU"/>
          <w:sz w:val="24"/>
          <w:szCs w:val="24"/>
          <w:w w:val="100"/>
          <w:spacing w:val="0"/>
          <w:color w:val="000000"/>
          <w:position w:val="0"/>
        </w:rPr>
        <w:t xml:space="preserve">ООО «ПрофМедСнаб» </w:t>
      </w:r>
      <w:r>
        <w:fldChar w:fldCharType="begin"/>
      </w:r>
      <w:r>
        <w:rPr>
          <w:color w:val="000000"/>
        </w:rPr>
        <w:instrText> HYPERLINK "mailto:info@profmedsnab.ru" </w:instrText>
      </w:r>
      <w:r>
        <w:fldChar w:fldCharType="separate"/>
      </w:r>
      <w:r>
        <w:rPr>
          <w:rStyle w:val="Hyperlink"/>
          <w:lang w:val="en-US" w:eastAsia="en-US" w:bidi="en-US"/>
          <w:sz w:val="24"/>
          <w:szCs w:val="24"/>
          <w:w w:val="100"/>
          <w:spacing w:val="0"/>
          <w:position w:val="0"/>
        </w:rPr>
        <w:t>info@profmedsnab.ru</w:t>
      </w:r>
      <w:r>
        <w:fldChar w:fldCharType="end"/>
      </w:r>
    </w:p>
    <w:p>
      <w:pPr>
        <w:pStyle w:val="Style7"/>
        <w:widowControl w:val="0"/>
        <w:keepNext w:val="0"/>
        <w:keepLines w:val="0"/>
        <w:shd w:val="clear" w:color="auto" w:fill="auto"/>
        <w:bidi w:val="0"/>
        <w:jc w:val="left"/>
        <w:spacing w:before="0" w:after="0"/>
        <w:ind w:left="4560" w:right="0" w:firstLine="0"/>
      </w:pPr>
      <w:r>
        <w:rPr>
          <w:lang w:val="ru-RU" w:eastAsia="ru-RU" w:bidi="ru-RU"/>
          <w:sz w:val="24"/>
          <w:szCs w:val="24"/>
          <w:w w:val="100"/>
          <w:spacing w:val="0"/>
          <w:color w:val="000000"/>
          <w:position w:val="0"/>
        </w:rPr>
        <w:t>Заказчик:</w:t>
      </w:r>
    </w:p>
    <w:p>
      <w:pPr>
        <w:pStyle w:val="Style3"/>
        <w:widowControl w:val="0"/>
        <w:keepNext w:val="0"/>
        <w:keepLines w:val="0"/>
        <w:shd w:val="clear" w:color="auto" w:fill="auto"/>
        <w:bidi w:val="0"/>
        <w:jc w:val="left"/>
        <w:spacing w:before="0" w:after="240" w:line="295" w:lineRule="exact"/>
        <w:ind w:left="4560" w:right="1040" w:firstLine="0"/>
      </w:pPr>
      <w:r>
        <w:rPr>
          <w:lang w:val="ru-RU" w:eastAsia="ru-RU" w:bidi="ru-RU"/>
          <w:sz w:val="24"/>
          <w:szCs w:val="24"/>
          <w:w w:val="100"/>
          <w:spacing w:val="0"/>
          <w:color w:val="000000"/>
          <w:position w:val="0"/>
        </w:rPr>
        <w:t xml:space="preserve">БУЗ ВО «Бабаевская ЦРБ» </w:t>
      </w:r>
      <w:r>
        <w:fldChar w:fldCharType="begin"/>
      </w:r>
      <w:r>
        <w:rPr>
          <w:color w:val="000000"/>
        </w:rPr>
        <w:instrText> HYPERLINK "mailto:goszakupki-babcrb@yandex.ru" </w:instrText>
      </w:r>
      <w:r>
        <w:fldChar w:fldCharType="separate"/>
      </w:r>
      <w:r>
        <w:rPr>
          <w:rStyle w:val="Hyperlink"/>
          <w:lang w:val="en-US" w:eastAsia="en-US" w:bidi="en-US"/>
          <w:sz w:val="24"/>
          <w:szCs w:val="24"/>
          <w:w w:val="100"/>
          <w:spacing w:val="0"/>
          <w:position w:val="0"/>
        </w:rPr>
        <w:t>goszakupki-babcrb@yandex.ru</w:t>
      </w:r>
      <w:r>
        <w:fldChar w:fldCharType="end"/>
      </w:r>
    </w:p>
    <w:p>
      <w:pPr>
        <w:pStyle w:val="Style7"/>
        <w:widowControl w:val="0"/>
        <w:keepNext w:val="0"/>
        <w:keepLines w:val="0"/>
        <w:shd w:val="clear" w:color="auto" w:fill="auto"/>
        <w:bidi w:val="0"/>
        <w:jc w:val="left"/>
        <w:spacing w:before="0" w:after="0"/>
        <w:ind w:left="4560" w:right="0" w:firstLine="0"/>
      </w:pPr>
      <w:r>
        <w:rPr>
          <w:lang w:val="ru-RU" w:eastAsia="ru-RU" w:bidi="ru-RU"/>
          <w:sz w:val="24"/>
          <w:szCs w:val="24"/>
          <w:w w:val="100"/>
          <w:spacing w:val="0"/>
          <w:color w:val="000000"/>
          <w:position w:val="0"/>
        </w:rPr>
        <w:t>Уполномоченное учреждение:</w:t>
      </w:r>
    </w:p>
    <w:p>
      <w:pPr>
        <w:pStyle w:val="Style3"/>
        <w:widowControl w:val="0"/>
        <w:keepNext w:val="0"/>
        <w:keepLines w:val="0"/>
        <w:shd w:val="clear" w:color="auto" w:fill="auto"/>
        <w:bidi w:val="0"/>
        <w:jc w:val="left"/>
        <w:spacing w:before="0" w:after="243" w:line="295" w:lineRule="exact"/>
        <w:ind w:left="4560" w:right="1040" w:firstLine="0"/>
      </w:pPr>
      <w:r>
        <w:rPr>
          <w:lang w:val="ru-RU" w:eastAsia="ru-RU" w:bidi="ru-RU"/>
          <w:sz w:val="24"/>
          <w:szCs w:val="24"/>
          <w:w w:val="100"/>
          <w:spacing w:val="0"/>
          <w:color w:val="000000"/>
          <w:position w:val="0"/>
        </w:rPr>
        <w:t xml:space="preserve">КУ ВО «Центр закупок» </w:t>
      </w:r>
      <w:r>
        <w:fldChar w:fldCharType="begin"/>
      </w:r>
      <w:r>
        <w:rPr>
          <w:color w:val="000000"/>
        </w:rPr>
        <w:instrText> HYPERLINK "mailto:cz@cz.gov35.ru" </w:instrText>
      </w:r>
      <w:r>
        <w:fldChar w:fldCharType="separate"/>
      </w:r>
      <w:r>
        <w:rPr>
          <w:rStyle w:val="Hyperlink"/>
          <w:lang w:val="en-US" w:eastAsia="en-US" w:bidi="en-US"/>
          <w:sz w:val="24"/>
          <w:szCs w:val="24"/>
          <w:w w:val="100"/>
          <w:spacing w:val="0"/>
          <w:position w:val="0"/>
        </w:rPr>
        <w:t>cz@cz.gov35.ru</w:t>
      </w:r>
      <w:r>
        <w:fldChar w:fldCharType="end"/>
      </w:r>
    </w:p>
    <w:p>
      <w:pPr>
        <w:pStyle w:val="Style7"/>
        <w:widowControl w:val="0"/>
        <w:keepNext w:val="0"/>
        <w:keepLines w:val="0"/>
        <w:shd w:val="clear" w:color="auto" w:fill="auto"/>
        <w:bidi w:val="0"/>
        <w:jc w:val="left"/>
        <w:spacing w:before="0" w:after="0" w:line="292" w:lineRule="exact"/>
        <w:ind w:left="4560" w:right="0" w:firstLine="0"/>
      </w:pPr>
      <w:r>
        <w:rPr>
          <w:lang w:val="ru-RU" w:eastAsia="ru-RU" w:bidi="ru-RU"/>
          <w:sz w:val="24"/>
          <w:szCs w:val="24"/>
          <w:w w:val="100"/>
          <w:spacing w:val="0"/>
          <w:color w:val="000000"/>
          <w:position w:val="0"/>
        </w:rPr>
        <w:t>Оператор электронной площадки:</w:t>
      </w:r>
    </w:p>
    <w:p>
      <w:pPr>
        <w:pStyle w:val="Style3"/>
        <w:widowControl w:val="0"/>
        <w:keepNext w:val="0"/>
        <w:keepLines w:val="0"/>
        <w:shd w:val="clear" w:color="auto" w:fill="auto"/>
        <w:bidi w:val="0"/>
        <w:jc w:val="left"/>
        <w:spacing w:before="0" w:after="881" w:line="292" w:lineRule="exact"/>
        <w:ind w:left="4560" w:right="1040" w:firstLine="0"/>
      </w:pPr>
      <w:r>
        <w:rPr>
          <w:lang w:val="ru-RU" w:eastAsia="ru-RU" w:bidi="ru-RU"/>
          <w:sz w:val="24"/>
          <w:szCs w:val="24"/>
          <w:w w:val="100"/>
          <w:spacing w:val="0"/>
          <w:color w:val="000000"/>
          <w:position w:val="0"/>
        </w:rPr>
        <w:t xml:space="preserve">АО «Сбербанк-АСТ»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7"/>
        <w:widowControl w:val="0"/>
        <w:keepNext w:val="0"/>
        <w:keepLines w:val="0"/>
        <w:shd w:val="clear" w:color="auto" w:fill="auto"/>
        <w:bidi w:val="0"/>
        <w:spacing w:before="0" w:after="300" w:line="240" w:lineRule="exact"/>
        <w:ind w:left="0" w:right="0" w:firstLine="0"/>
      </w:pPr>
      <w:r>
        <w:rPr>
          <w:lang w:val="ru-RU" w:eastAsia="ru-RU" w:bidi="ru-RU"/>
          <w:sz w:val="24"/>
          <w:szCs w:val="24"/>
          <w:w w:val="100"/>
          <w:spacing w:val="0"/>
          <w:color w:val="000000"/>
          <w:position w:val="0"/>
        </w:rPr>
        <w:t>РЕШЕНИЕ № 035/06/67-614/2021</w:t>
      </w:r>
    </w:p>
    <w:p>
      <w:pPr>
        <w:pStyle w:val="Style3"/>
        <w:tabs>
          <w:tab w:leader="none" w:pos="8264" w:val="right"/>
          <w:tab w:leader="none" w:pos="8800" w:val="center"/>
        </w:tabs>
        <w:widowControl w:val="0"/>
        <w:keepNext w:val="0"/>
        <w:keepLines w:val="0"/>
        <w:shd w:val="clear" w:color="auto" w:fill="auto"/>
        <w:bidi w:val="0"/>
        <w:spacing w:before="0" w:after="270" w:line="240" w:lineRule="exact"/>
        <w:ind w:left="20" w:right="0" w:firstLine="0"/>
      </w:pPr>
      <w:r>
        <w:rPr>
          <w:lang w:val="ru-RU" w:eastAsia="ru-RU" w:bidi="ru-RU"/>
          <w:sz w:val="24"/>
          <w:szCs w:val="24"/>
          <w:w w:val="100"/>
          <w:spacing w:val="0"/>
          <w:color w:val="000000"/>
          <w:position w:val="0"/>
        </w:rPr>
        <w:t>«11» ноября 2021 г.</w:t>
        <w:tab/>
        <w:t>г.</w:t>
        <w:tab/>
        <w:t>Вологда</w:t>
      </w:r>
    </w:p>
    <w:p>
      <w:pPr>
        <w:pStyle w:val="Style3"/>
        <w:widowControl w:val="0"/>
        <w:keepNext w:val="0"/>
        <w:keepLines w:val="0"/>
        <w:shd w:val="clear" w:color="auto" w:fill="auto"/>
        <w:bidi w:val="0"/>
        <w:spacing w:before="0" w:after="0" w:line="292" w:lineRule="exact"/>
        <w:ind w:left="20" w:right="20" w:firstLine="700"/>
      </w:pPr>
      <w:r>
        <w:rPr>
          <w:lang w:val="ru-RU" w:eastAsia="ru-RU" w:bidi="ru-RU"/>
          <w:sz w:val="24"/>
          <w:szCs w:val="24"/>
          <w:w w:val="100"/>
          <w:spacing w:val="0"/>
          <w:color w:val="000000"/>
          <w:position w:val="0"/>
        </w:rPr>
        <w:t>Комиссия по контролю в сфере закупок Управления Федеральной антимонопольной службы по Вологодской области (далее - Комиссия Управления, Комиссия УФАС) в составе:</w:t>
      </w:r>
    </w:p>
    <w:p>
      <w:pPr>
        <w:pStyle w:val="Style3"/>
        <w:widowControl w:val="0"/>
        <w:keepNext w:val="0"/>
        <w:keepLines w:val="0"/>
        <w:shd w:val="clear" w:color="auto" w:fill="auto"/>
        <w:bidi w:val="0"/>
        <w:spacing w:before="0" w:after="0" w:line="292" w:lineRule="exact"/>
        <w:ind w:left="20" w:right="20" w:firstLine="700"/>
      </w:pPr>
      <w:r>
        <w:rPr>
          <w:lang w:val="ru-RU" w:eastAsia="ru-RU" w:bidi="ru-RU"/>
          <w:sz w:val="24"/>
          <w:szCs w:val="24"/>
          <w:w w:val="100"/>
          <w:spacing w:val="0"/>
          <w:color w:val="000000"/>
          <w:position w:val="0"/>
        </w:rPr>
        <w:t>Ростиславова А.А. - заместитель руководителя Управления Федеральной антимонопольной службы по Вологодской области, председатель Комиссии Управления,</w:t>
      </w:r>
    </w:p>
    <w:p>
      <w:pPr>
        <w:pStyle w:val="Style3"/>
        <w:widowControl w:val="0"/>
        <w:keepNext w:val="0"/>
        <w:keepLines w:val="0"/>
        <w:shd w:val="clear" w:color="auto" w:fill="auto"/>
        <w:bidi w:val="0"/>
        <w:spacing w:before="0" w:after="0" w:line="288" w:lineRule="exact"/>
        <w:ind w:left="20" w:right="20" w:firstLine="700"/>
      </w:pPr>
      <w:r>
        <w:rPr>
          <w:lang w:val="ru-RU" w:eastAsia="ru-RU" w:bidi="ru-RU"/>
          <w:sz w:val="24"/>
          <w:szCs w:val="24"/>
          <w:w w:val="100"/>
          <w:spacing w:val="0"/>
          <w:color w:val="000000"/>
          <w:position w:val="0"/>
        </w:rPr>
        <w:t>Кузнецова Ю.Н. - старший государственный инспектор Управления Федеральной антимонопольной службы по Вологодской области, член Комиссии Управления,</w:t>
      </w:r>
    </w:p>
    <w:p>
      <w:pPr>
        <w:pStyle w:val="Style3"/>
        <w:widowControl w:val="0"/>
        <w:keepNext w:val="0"/>
        <w:keepLines w:val="0"/>
        <w:shd w:val="clear" w:color="auto" w:fill="auto"/>
        <w:bidi w:val="0"/>
        <w:spacing w:before="0" w:after="0" w:line="288" w:lineRule="exact"/>
        <w:ind w:left="20" w:right="20" w:firstLine="700"/>
      </w:pPr>
      <w:r>
        <w:rPr>
          <w:lang w:val="ru-RU" w:eastAsia="ru-RU" w:bidi="ru-RU"/>
          <w:sz w:val="24"/>
          <w:szCs w:val="24"/>
          <w:w w:val="100"/>
          <w:spacing w:val="0"/>
          <w:color w:val="000000"/>
          <w:position w:val="0"/>
        </w:rPr>
        <w:t>Коренникова А.А. - старший государственный инспектор Управления Федеральной антимонопольной службы по Вологодской области, член Комиссии Управления,</w:t>
      </w:r>
    </w:p>
    <w:p>
      <w:pPr>
        <w:pStyle w:val="Style3"/>
        <w:widowControl w:val="0"/>
        <w:keepNext w:val="0"/>
        <w:keepLines w:val="0"/>
        <w:shd w:val="clear" w:color="auto" w:fill="auto"/>
        <w:bidi w:val="0"/>
        <w:spacing w:before="0" w:after="0" w:line="240" w:lineRule="exact"/>
        <w:ind w:left="20" w:right="0" w:firstLine="700"/>
      </w:pPr>
      <w:r>
        <w:rPr>
          <w:lang w:val="ru-RU" w:eastAsia="ru-RU" w:bidi="ru-RU"/>
          <w:sz w:val="24"/>
          <w:szCs w:val="24"/>
          <w:w w:val="100"/>
          <w:spacing w:val="0"/>
          <w:color w:val="000000"/>
          <w:position w:val="0"/>
        </w:rPr>
        <w:t>рассмотрев жалобу ООО «ПрофМедСнаб» (далее - Заявитель, Участник закупки) на действия аукционной комиссии при проведении электронного аукциона, предмет закупки - поставка медицинского изделия стерилизатор плазменный, ввод в эксплуатацию медицинского изделия, обучение правилам эксплуатации специалистов, эксплуатирующих медицинское изделие (извещение № 0830500000221002863) (далее - электронный аукцион, аукцион), в присутствии представителей путем участия в видеоконференцсвязи:</w:t>
      </w:r>
    </w:p>
    <w:p>
      <w:pPr>
        <w:pStyle w:val="Style3"/>
        <w:widowControl w:val="0"/>
        <w:keepNext w:val="0"/>
        <w:keepLines w:val="0"/>
        <w:shd w:val="clear" w:color="auto" w:fill="auto"/>
        <w:bidi w:val="0"/>
        <w:spacing w:before="0" w:after="0" w:line="299" w:lineRule="exact"/>
        <w:ind w:left="20" w:right="0" w:firstLine="700"/>
      </w:pPr>
      <w:r>
        <w:rPr>
          <w:lang w:val="ru-RU" w:eastAsia="ru-RU" w:bidi="ru-RU"/>
          <w:sz w:val="24"/>
          <w:szCs w:val="24"/>
          <w:w w:val="100"/>
          <w:spacing w:val="0"/>
          <w:color w:val="000000"/>
          <w:position w:val="0"/>
        </w:rPr>
        <w:t>от Заявителя - Батылина М.В. (по доверенности),</w:t>
      </w:r>
    </w:p>
    <w:p>
      <w:pPr>
        <w:pStyle w:val="Style3"/>
        <w:widowControl w:val="0"/>
        <w:keepNext w:val="0"/>
        <w:keepLines w:val="0"/>
        <w:shd w:val="clear" w:color="auto" w:fill="auto"/>
        <w:bidi w:val="0"/>
        <w:spacing w:before="0" w:after="0" w:line="299" w:lineRule="exact"/>
        <w:ind w:left="20" w:right="0" w:firstLine="700"/>
      </w:pPr>
      <w:r>
        <w:rPr>
          <w:lang w:val="ru-RU" w:eastAsia="ru-RU" w:bidi="ru-RU"/>
          <w:sz w:val="24"/>
          <w:szCs w:val="24"/>
          <w:w w:val="100"/>
          <w:spacing w:val="0"/>
          <w:color w:val="000000"/>
          <w:position w:val="0"/>
        </w:rPr>
        <w:t>от Заказчика - Ларионовой Н.Ю. (по доверенности),</w:t>
      </w:r>
    </w:p>
    <w:p>
      <w:pPr>
        <w:pStyle w:val="Style3"/>
        <w:widowControl w:val="0"/>
        <w:keepNext w:val="0"/>
        <w:keepLines w:val="0"/>
        <w:shd w:val="clear" w:color="auto" w:fill="auto"/>
        <w:bidi w:val="0"/>
        <w:spacing w:before="0" w:after="287" w:line="299" w:lineRule="exact"/>
        <w:ind w:left="20" w:right="0" w:firstLine="700"/>
      </w:pPr>
      <w:r>
        <w:rPr>
          <w:lang w:val="ru-RU" w:eastAsia="ru-RU" w:bidi="ru-RU"/>
          <w:sz w:val="24"/>
          <w:szCs w:val="24"/>
          <w:w w:val="100"/>
          <w:spacing w:val="0"/>
          <w:color w:val="000000"/>
          <w:position w:val="0"/>
        </w:rPr>
        <w:t>от Уполномоченного учреждения - Хорис Ю.В. (по доверенности),</w:t>
      </w:r>
    </w:p>
    <w:p>
      <w:pPr>
        <w:pStyle w:val="Style12"/>
        <w:widowControl w:val="0"/>
        <w:keepNext/>
        <w:keepLines/>
        <w:shd w:val="clear" w:color="auto" w:fill="auto"/>
        <w:bidi w:val="0"/>
        <w:jc w:val="left"/>
        <w:spacing w:before="0" w:after="267" w:line="240" w:lineRule="exact"/>
        <w:ind w:left="4180" w:right="0" w:firstLine="0"/>
      </w:pPr>
      <w:bookmarkStart w:id="0" w:name="bookmark0"/>
      <w:r>
        <w:rPr>
          <w:lang w:val="ru-RU" w:eastAsia="ru-RU" w:bidi="ru-RU"/>
          <w:sz w:val="24"/>
          <w:szCs w:val="24"/>
          <w:w w:val="100"/>
          <w:spacing w:val="0"/>
          <w:color w:val="000000"/>
          <w:position w:val="0"/>
        </w:rPr>
        <w:t>УСТАНОВИЛА:</w:t>
      </w:r>
      <w:bookmarkEnd w:id="0"/>
    </w:p>
    <w:p>
      <w:pPr>
        <w:pStyle w:val="Style3"/>
        <w:numPr>
          <w:ilvl w:val="0"/>
          <w:numId w:val="1"/>
        </w:numPr>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 в Управление Федеральной антимонопольной службы по Вологодской области (далее - Управление) поступила жалоба ООО «ПрофМедСнаб» на действия аукционной комиссии при проведении электронного аукциона,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Жалоба Заявителя подана в надлежащий срок и соответствует требованиям, предусмотренным ст. 105 Закона о контрактной системе.</w:t>
      </w:r>
    </w:p>
    <w:p>
      <w:pPr>
        <w:pStyle w:val="Style3"/>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Аукционной комиссией, согласно протоколу рассмотрения заявок на участие в электронном аукционе от 29.10.2021 (далее - Протокол), принято решение об отказе в допуске к участию в аукционе Заявителю, т.к. в заявке Участника закупки по позиции 1 по показателям «Стерилизатор плазменный низкотемпературный», «Стол для установки и перемещения стерилизатора, оборудованный колесиками» отсутствуют конкретные показатели товара, соответствующие значениям, установленным документацией об электронном аукционе. В заявке участника закупки указаны минимальные показатели в столбце «Значение показателя, которое может изменяться».</w:t>
      </w:r>
    </w:p>
    <w:p>
      <w:pPr>
        <w:pStyle w:val="Style3"/>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Заявитель считает, что его заявка отклонена необоснованно.</w:t>
      </w:r>
    </w:p>
    <w:p>
      <w:pPr>
        <w:pStyle w:val="Style3"/>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Рассмотрение жалобы назначено на 10 час. 00 мин. 11.11.2021 путем видеоконференцсвязи.</w:t>
      </w:r>
    </w:p>
    <w:p>
      <w:pPr>
        <w:pStyle w:val="Style3"/>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Комиссия Управления, рассмотрев представленные материалы и документы, размещенные в единой информационной системе в сфере закупок </w:t>
      </w:r>
      <w:r>
        <w:rPr>
          <w:lang w:val="en-US" w:eastAsia="en-US" w:bidi="en-US"/>
          <w:sz w:val="24"/>
          <w:szCs w:val="24"/>
          <w:w w:val="100"/>
          <w:spacing w:val="0"/>
          <w:color w:val="000000"/>
          <w:position w:val="0"/>
        </w:rPr>
        <w:t>(</w:t>
      </w:r>
      <w:r>
        <w:fldChar w:fldCharType="begin"/>
      </w:r>
      <w:r>
        <w:rPr>
          <w:color w:val="000000"/>
        </w:rPr>
        <w:instrText> HYPERLINK "http://zakupki.gov.ru" </w:instrText>
      </w:r>
      <w:r>
        <w:fldChar w:fldCharType="separate"/>
      </w:r>
      <w:r>
        <w:rPr>
          <w:rStyle w:val="Hyperlink"/>
          <w:lang w:val="en-US" w:eastAsia="en-US" w:bidi="en-US"/>
          <w:sz w:val="24"/>
          <w:szCs w:val="24"/>
          <w:w w:val="100"/>
          <w:spacing w:val="0"/>
          <w:position w:val="0"/>
        </w:rPr>
        <w:t>http://zakupki.gov.ru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ЕИС) в их совокупности установила следующее.</w:t>
      </w:r>
    </w:p>
    <w:p>
      <w:pPr>
        <w:pStyle w:val="Style3"/>
        <w:numPr>
          <w:ilvl w:val="0"/>
          <w:numId w:val="3"/>
        </w:numPr>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 в ЕИС размещено извещение о проведении электронного аукциона №0830500000221002863.</w:t>
      </w:r>
    </w:p>
    <w:p>
      <w:pPr>
        <w:pStyle w:val="Style3"/>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Начальная (максимальная) цена контракта 4 255 546,67 руб.</w:t>
      </w:r>
    </w:p>
    <w:p>
      <w:pPr>
        <w:pStyle w:val="Style3"/>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Согласно ч. 3 ст. 66 Закона о контрактной системе первая часть заявки на участие в электронном аукционе должна содержать:</w:t>
      </w:r>
    </w:p>
    <w:p>
      <w:pPr>
        <w:pStyle w:val="Style3"/>
        <w:numPr>
          <w:ilvl w:val="0"/>
          <w:numId w:val="5"/>
        </w:numPr>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w:t>
        <w:softHyphen/>
        <w:t>аппаратных средств электронной площадки);</w:t>
      </w:r>
    </w:p>
    <w:p>
      <w:pPr>
        <w:pStyle w:val="Style14"/>
        <w:numPr>
          <w:ilvl w:val="0"/>
          <w:numId w:val="5"/>
        </w:numPr>
        <w:widowControl w:val="0"/>
        <w:keepNext/>
        <w:keepLines/>
        <w:shd w:val="clear" w:color="auto" w:fill="auto"/>
        <w:bidi w:val="0"/>
        <w:spacing w:before="0" w:after="0"/>
        <w:ind w:left="20" w:right="20"/>
      </w:pPr>
      <w:bookmarkStart w:id="1" w:name="bookmark1"/>
      <w:r>
        <w:rPr>
          <w:lang w:val="ru-RU" w:eastAsia="ru-RU" w:bidi="ru-RU"/>
          <w:sz w:val="24"/>
          <w:szCs w:val="24"/>
          <w:w w:val="100"/>
          <w:spacing w:val="0"/>
          <w:color w:val="000000"/>
          <w:position w:val="0"/>
        </w:rPr>
        <w:t xml:space="preserve"> при осуществлении закупки товара, в том числе поставляемого заказчику </w:t>
      </w:r>
      <w:r>
        <w:rPr>
          <w:rStyle w:val="CharStyle16"/>
        </w:rPr>
        <w:t>при выполнении закупаемых работ, оказании закупаемых услуг:</w:t>
      </w:r>
      <w:bookmarkEnd w:id="1"/>
    </w:p>
    <w:p>
      <w:pPr>
        <w:pStyle w:val="Style3"/>
        <w:tabs>
          <w:tab w:leader="none" w:pos="1044" w:val="left"/>
        </w:tabs>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а)</w:t>
        <w:tab/>
        <w:t>наименование страны происхождения товара;</w:t>
      </w:r>
    </w:p>
    <w:p>
      <w:pPr>
        <w:pStyle w:val="Style3"/>
        <w:tabs>
          <w:tab w:leader="none" w:pos="1064" w:val="left"/>
        </w:tabs>
        <w:widowControl w:val="0"/>
        <w:keepNext w:val="0"/>
        <w:keepLines w:val="0"/>
        <w:shd w:val="clear" w:color="auto" w:fill="auto"/>
        <w:bidi w:val="0"/>
        <w:spacing w:before="0" w:after="0" w:line="295" w:lineRule="exact"/>
        <w:ind w:left="20" w:right="20" w:firstLine="700"/>
      </w:pPr>
      <w:r>
        <w:rPr>
          <w:rStyle w:val="CharStyle17"/>
        </w:rPr>
        <w:t>б)</w:t>
        <w:tab/>
        <w:t xml:space="preserve">конкретные показатели товара, соответствующие значениям, установленным </w:t>
      </w:r>
      <w:r>
        <w:rPr>
          <w:lang w:val="ru-RU" w:eastAsia="ru-RU" w:bidi="ru-RU"/>
          <w:sz w:val="24"/>
          <w:szCs w:val="24"/>
          <w:w w:val="100"/>
          <w:spacing w:val="0"/>
          <w:color w:val="000000"/>
          <w:position w:val="0"/>
        </w:rPr>
        <w:t>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В соответствии с п. 27 раздела I. «Информационная карта» документации об электронном аукционе первая часть заявки на участие в аукционе должна содержать:</w:t>
      </w:r>
    </w:p>
    <w:p>
      <w:pPr>
        <w:pStyle w:val="Style3"/>
        <w:numPr>
          <w:ilvl w:val="0"/>
          <w:numId w:val="7"/>
        </w:numPr>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 согласие участника аукциона на поставку товара на условиях, предусмотренных документацией об аукционе и не подлежащих изменению по результатам проведения аукциона (такое согласие дается с применением программно</w:t>
        <w:softHyphen/>
        <w:t>аппаратных средств электронной площадки);</w:t>
      </w:r>
    </w:p>
    <w:p>
      <w:pPr>
        <w:pStyle w:val="Style3"/>
        <w:numPr>
          <w:ilvl w:val="0"/>
          <w:numId w:val="7"/>
        </w:numPr>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 xml:space="preserve"> наименование страны происхождения товара;</w:t>
      </w:r>
    </w:p>
    <w:p>
      <w:pPr>
        <w:pStyle w:val="Style3"/>
        <w:numPr>
          <w:ilvl w:val="0"/>
          <w:numId w:val="7"/>
        </w:numPr>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 конкретные показатели товара, соответствующие значениям, установленным в документации об электронном аукционе (п. 1 раздела II. «Описание объекта закупки (Техническое задание)»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аукционе в случае отсутствия в документации об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pPr>
        <w:pStyle w:val="Style3"/>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Согласно п. 29 раздела I. «Информационная карта» документации об электронном аукционе первая часть заявки на участие в аукционе должна содержать все показатели товара, установленные в пункте 1 раздела II. «Описание объекта закупки (Техническое задание)» документации об электронном аукционе, и их значения, которые указываются следующим образом:</w:t>
      </w:r>
    </w:p>
    <w:p>
      <w:pPr>
        <w:pStyle w:val="Style3"/>
        <w:numPr>
          <w:ilvl w:val="0"/>
          <w:numId w:val="9"/>
        </w:numPr>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 в случае, если в документации об электронном аукционе установлены значения показателей, которые не могут изменяться, значения таких показателей указываются в заявке на участие в электронном аукционе без изменений;</w:t>
      </w:r>
    </w:p>
    <w:p>
      <w:pPr>
        <w:pStyle w:val="Style3"/>
        <w:numPr>
          <w:ilvl w:val="0"/>
          <w:numId w:val="9"/>
        </w:numPr>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 в случае, если в документации об электронном аукционе установлены максимальные и (или) минимальные значения показателей, заявка на участие в электронном аукционе должна содержать конкретные значения таких показателей;</w:t>
      </w:r>
    </w:p>
    <w:p>
      <w:pPr>
        <w:pStyle w:val="Style3"/>
        <w:numPr>
          <w:ilvl w:val="0"/>
          <w:numId w:val="9"/>
        </w:numPr>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 в случае, если в документации об электронном аукционе установлены значения показателей с союзом «или», заявка на участие в аукционе должна содержать конкретные значения таких показателей;</w:t>
      </w:r>
    </w:p>
    <w:p>
      <w:pPr>
        <w:pStyle w:val="Style3"/>
        <w:numPr>
          <w:ilvl w:val="0"/>
          <w:numId w:val="9"/>
        </w:numPr>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 в случае указания в документации об аукционе в минимальном значении показателя товара знака «&gt;» конкретное значение по показателю должно быть больше указанного значения;</w:t>
      </w:r>
    </w:p>
    <w:p>
      <w:pPr>
        <w:pStyle w:val="Style3"/>
        <w:numPr>
          <w:ilvl w:val="0"/>
          <w:numId w:val="9"/>
        </w:numPr>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 xml:space="preserve"> в случае указания в документации об аукционе в максимальном значении показателя товара знака «&lt;» конкретное значение по показателю должно быть меньше указанного значения;</w:t>
      </w:r>
    </w:p>
    <w:p>
      <w:pPr>
        <w:pStyle w:val="Style3"/>
        <w:numPr>
          <w:ilvl w:val="0"/>
          <w:numId w:val="9"/>
        </w:numPr>
        <w:widowControl w:val="0"/>
        <w:keepNext w:val="0"/>
        <w:keepLines w:val="0"/>
        <w:shd w:val="clear" w:color="auto" w:fill="auto"/>
        <w:bidi w:val="0"/>
        <w:spacing w:before="0" w:after="0" w:line="292" w:lineRule="exact"/>
        <w:ind w:left="20" w:right="20" w:firstLine="700"/>
      </w:pPr>
      <w:r>
        <w:rPr>
          <w:lang w:val="ru-RU" w:eastAsia="ru-RU" w:bidi="ru-RU"/>
          <w:sz w:val="24"/>
          <w:szCs w:val="24"/>
          <w:w w:val="100"/>
          <w:spacing w:val="0"/>
          <w:color w:val="000000"/>
          <w:position w:val="0"/>
        </w:rPr>
        <w:t xml:space="preserve"> в случае указания в документации об аукционе в минимальном значении показателя товара знака «&gt;», конкретное значение по показателю должно быть равно или больше указанного значения;</w:t>
      </w:r>
    </w:p>
    <w:p>
      <w:pPr>
        <w:pStyle w:val="Style3"/>
        <w:widowControl w:val="0"/>
        <w:keepNext w:val="0"/>
        <w:keepLines w:val="0"/>
        <w:shd w:val="clear" w:color="auto" w:fill="auto"/>
        <w:bidi w:val="0"/>
        <w:spacing w:before="0" w:after="0" w:line="292" w:lineRule="exact"/>
        <w:ind w:left="20" w:right="20" w:firstLine="920"/>
      </w:pPr>
      <w:r>
        <w:rPr>
          <w:lang w:val="ru-RU" w:eastAsia="ru-RU" w:bidi="ru-RU"/>
          <w:sz w:val="24"/>
          <w:szCs w:val="24"/>
          <w:w w:val="100"/>
          <w:spacing w:val="0"/>
          <w:color w:val="000000"/>
          <w:position w:val="0"/>
        </w:rPr>
        <w:t>в случае указания в документации об аукционе в максимальном значении показателя товара знака «&lt;», конкретное значение по показателю должно быть равно или меньше указанного значения.</w:t>
      </w:r>
    </w:p>
    <w:p>
      <w:pPr>
        <w:pStyle w:val="Style3"/>
        <w:widowControl w:val="0"/>
        <w:keepNext w:val="0"/>
        <w:keepLines w:val="0"/>
        <w:shd w:val="clear" w:color="auto" w:fill="auto"/>
        <w:bidi w:val="0"/>
        <w:spacing w:before="0" w:after="0" w:line="277" w:lineRule="exact"/>
        <w:ind w:left="20" w:right="20" w:firstLine="700"/>
      </w:pPr>
      <w:r>
        <w:rPr>
          <w:lang w:val="ru-RU" w:eastAsia="ru-RU" w:bidi="ru-RU"/>
          <w:sz w:val="24"/>
          <w:szCs w:val="24"/>
          <w:w w:val="100"/>
          <w:spacing w:val="0"/>
          <w:color w:val="000000"/>
          <w:position w:val="0"/>
        </w:rPr>
        <w:t>При заполнении заявки участнику закупки следует использовать общепринятые обозначения и наименования; избегать формулировок, допускающих неоднозначное толкование.</w:t>
      </w:r>
    </w:p>
    <w:p>
      <w:pPr>
        <w:pStyle w:val="Style3"/>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В разделе II. «Описание объекта закупки (Техническое задание)» документации об электронном аукционе Заказчик установил показатели, позволяющие определить соответствие закупаемых товаров установленным заказчиком требованиям, указав при этом максимальные и минимальные значения показателей, а также значения показателей, которые не могут изменяться.</w:t>
      </w:r>
    </w:p>
    <w:p>
      <w:pPr>
        <w:pStyle w:val="Style3"/>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Комиссией У ФАС установлено, что в заявке Заявителя по позиции 1 по показателям «Общий объем камеры», «Полезный объем камеры», «Концентрация стерилизующего средства во флаконе/картридже», «Температура в стерилизационной камере», «Количество действующих режимов стерилизации», «Продолжительность самой короткой программы стерилизации», «Продолжительность программы стерилизации хирургических инструментов с длинными/узкими каналами или замковыми частями», «Диапазон температуры хранения ёмкости со стерилизующим агентом, указанный на этикетке ёмкости», «Количество циклов с одним сменным флаконом/кассетой», «Тип электропитания», «Потребляемая мощность», «Количество полок в камере», «Максимальная нагрузка на полку», «Ширина стерилизатора, позволяющая его установку в имеющемся пространстве», «Глубина стерилизатора, позволяющая его установку в имеющемся пространстве», «Высота стерилизатора, позволяющая его установку в имеющемся пространстве», «Ширина камеры», «Высота камеры», «Глубина камеры», «Масса стерилизатора в сборе», «Стерилизация изделий медицинского назначения из металла с диаметром внутреннего канала», «Стерилизация изделий медицинского назначения из металла с длиной», «Стерилизация полимерных изделий медицинского назначения, включая гибкие эндоскопы, с длиной», «Стерилизация полимерных изделий медицинского назначения, включая гибкие эндоскопы, с диаметром внутреннего канала», «Средний срок службы (эксплуатации) стерилизатора», в части комплекта поставки по показателям «Стерилизатор плазменный низкотемпературный», «Стол для установки и перемещения стерилизатора, оборудованный колесиками» отсутствуют конкретные показатели товара, соответствующие значениям, установленным документацией об электронном аукционе. Указанные показатели товара находятся в столбце «Значение показателя, которое может изменяться».</w:t>
      </w:r>
    </w:p>
    <w:p>
      <w:pPr>
        <w:pStyle w:val="Style3"/>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Исходя из представленных в заявке Заявителя показателей, аукционной комиссии не представилось возможным определить, какие именно показатели предлагает Заявитель в своей заявке.</w:t>
      </w:r>
    </w:p>
    <w:p>
      <w:pPr>
        <w:pStyle w:val="Style3"/>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Комиссией У ФАС установлено, что заявка Заявителя не соответствует пп. 3 п. 27, п. 29 раздела I. «Информационная карта», разделу II. «Описание объекта закупки (Техническое задание)» документации об электронном аукционе.</w:t>
      </w:r>
    </w:p>
    <w:p>
      <w:pPr>
        <w:pStyle w:val="Style3"/>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Таким образом, действия аукционной комиссии о признании несоответствующей первой части заявки Заявителя требованиям, установленным документацией об электронном аукционе, и об отказе в допуске к участию в аукционе являются правомерными.</w:t>
      </w:r>
    </w:p>
    <w:p>
      <w:pPr>
        <w:pStyle w:val="Style3"/>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Довод Заявителя не нашел своего подтверждения.</w:t>
      </w:r>
    </w:p>
    <w:p>
      <w:pPr>
        <w:pStyle w:val="Style14"/>
        <w:widowControl w:val="0"/>
        <w:keepNext/>
        <w:keepLines/>
        <w:shd w:val="clear" w:color="auto" w:fill="auto"/>
        <w:bidi w:val="0"/>
        <w:spacing w:before="0" w:after="0"/>
        <w:ind w:left="20" w:right="20"/>
      </w:pPr>
      <w:bookmarkStart w:id="2" w:name="bookmark2"/>
      <w:r>
        <w:rPr>
          <w:rStyle w:val="CharStyle16"/>
        </w:rPr>
        <w:t xml:space="preserve">В соответствии с п. 1 ч. 15 ст. 99 Закона о контрактной системе Комиссия </w:t>
      </w:r>
      <w:r>
        <w:rPr>
          <w:lang w:val="ru-RU" w:eastAsia="ru-RU" w:bidi="ru-RU"/>
          <w:sz w:val="24"/>
          <w:szCs w:val="24"/>
          <w:w w:val="100"/>
          <w:spacing w:val="0"/>
          <w:color w:val="000000"/>
          <w:position w:val="0"/>
        </w:rPr>
        <w:t>У ФАС провела внеплановую проверку, по результатам которой выявлено следующее:</w:t>
      </w:r>
      <w:bookmarkEnd w:id="2"/>
    </w:p>
    <w:p>
      <w:pPr>
        <w:pStyle w:val="Style3"/>
        <w:numPr>
          <w:ilvl w:val="0"/>
          <w:numId w:val="11"/>
        </w:numPr>
        <w:tabs>
          <w:tab w:leader="none" w:pos="1431" w:val="left"/>
        </w:tabs>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Пункт 1 раздела И. «Описание объекта закупки (Техническое задание)» документации об электронном аукционе содержит положения, имеющие двоякое</w:t>
      </w:r>
    </w:p>
    <w:p>
      <w:pPr>
        <w:pStyle w:val="Style3"/>
        <w:widowControl w:val="0"/>
        <w:keepNext w:val="0"/>
        <w:keepLines w:val="0"/>
        <w:shd w:val="clear" w:color="auto" w:fill="auto"/>
        <w:bidi w:val="0"/>
        <w:spacing w:before="0" w:after="238" w:line="310" w:lineRule="exact"/>
        <w:ind w:left="120" w:right="460" w:firstLine="0"/>
      </w:pPr>
      <w:r>
        <w:rPr>
          <w:lang w:val="ru-RU" w:eastAsia="ru-RU" w:bidi="ru-RU"/>
          <w:sz w:val="24"/>
          <w:szCs w:val="24"/>
          <w:w w:val="100"/>
          <w:spacing w:val="0"/>
          <w:color w:val="000000"/>
          <w:position w:val="0"/>
        </w:rPr>
        <w:t>толкование, которые могут вводить потенциального участника закупки в заблуждение. В соответствии с разделом II. «Описание объекта закупки (Техническое задание)» документации об электронном аукционе установлен комплект поставки:</w:t>
      </w:r>
    </w:p>
    <w:tbl>
      <w:tblPr>
        <w:tblOverlap w:val="never"/>
        <w:tblLayout w:type="fixed"/>
        <w:jc w:val="center"/>
      </w:tblPr>
      <w:tblGrid>
        <w:gridCol w:w="677"/>
        <w:gridCol w:w="990"/>
        <w:gridCol w:w="1598"/>
        <w:gridCol w:w="115"/>
        <w:gridCol w:w="997"/>
        <w:gridCol w:w="1350"/>
        <w:gridCol w:w="1418"/>
        <w:gridCol w:w="1159"/>
        <w:gridCol w:w="1897"/>
      </w:tblGrid>
      <w:tr>
        <w:trPr>
          <w:trHeight w:val="259" w:hRule="exact"/>
        </w:trPr>
        <w:tc>
          <w:tcPr>
            <w:shd w:val="clear" w:color="auto" w:fill="FFFFFF"/>
            <w:vMerge w:val="restart"/>
            <w:tcBorders>
              <w:left w:val="single" w:sz="4"/>
              <w:top w:val="single" w:sz="4"/>
            </w:tcBorders>
            <w:vAlign w:val="top"/>
          </w:tcPr>
          <w:p>
            <w:pPr>
              <w:pStyle w:val="Style3"/>
              <w:framePr w:w="10202" w:wrap="notBeside" w:vAnchor="text" w:hAnchor="text" w:xAlign="center" w:y="1"/>
              <w:widowControl w:val="0"/>
              <w:keepNext w:val="0"/>
              <w:keepLines w:val="0"/>
              <w:shd w:val="clear" w:color="auto" w:fill="auto"/>
              <w:bidi w:val="0"/>
              <w:jc w:val="left"/>
              <w:spacing w:before="0" w:after="60" w:line="180" w:lineRule="exact"/>
              <w:ind w:left="140" w:right="0" w:firstLine="0"/>
            </w:pPr>
            <w:r>
              <w:rPr>
                <w:rStyle w:val="CharStyle18"/>
              </w:rPr>
              <w:t>№</w:t>
            </w:r>
          </w:p>
          <w:p>
            <w:pPr>
              <w:pStyle w:val="Style3"/>
              <w:framePr w:w="10202" w:wrap="notBeside" w:vAnchor="text" w:hAnchor="text" w:xAlign="center" w:y="1"/>
              <w:widowControl w:val="0"/>
              <w:keepNext w:val="0"/>
              <w:keepLines w:val="0"/>
              <w:shd w:val="clear" w:color="auto" w:fill="auto"/>
              <w:bidi w:val="0"/>
              <w:jc w:val="left"/>
              <w:spacing w:before="60" w:after="0" w:line="180" w:lineRule="exact"/>
              <w:ind w:left="140" w:right="0" w:firstLine="0"/>
            </w:pPr>
            <w:r>
              <w:rPr>
                <w:rStyle w:val="CharStyle18"/>
              </w:rPr>
              <w:t>п/п</w:t>
            </w:r>
          </w:p>
        </w:tc>
        <w:tc>
          <w:tcPr>
            <w:shd w:val="clear" w:color="auto" w:fill="FFFFFF"/>
            <w:vMerge w:val="restart"/>
            <w:tcBorders>
              <w:left w:val="single" w:sz="4"/>
              <w:top w:val="single" w:sz="4"/>
            </w:tcBorders>
            <w:vAlign w:val="top"/>
          </w:tcPr>
          <w:p>
            <w:pPr>
              <w:pStyle w:val="Style3"/>
              <w:framePr w:w="10202"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18"/>
              </w:rPr>
              <w:t>Наимен</w:t>
            </w:r>
          </w:p>
          <w:p>
            <w:pPr>
              <w:pStyle w:val="Style3"/>
              <w:framePr w:w="10202" w:wrap="notBeside" w:vAnchor="text" w:hAnchor="text" w:xAlign="center" w:y="1"/>
              <w:widowControl w:val="0"/>
              <w:keepNext w:val="0"/>
              <w:keepLines w:val="0"/>
              <w:shd w:val="clear" w:color="auto" w:fill="auto"/>
              <w:bidi w:val="0"/>
              <w:jc w:val="left"/>
              <w:spacing w:before="60" w:after="0" w:line="220" w:lineRule="exact"/>
              <w:ind w:left="120" w:right="0" w:firstLine="0"/>
            </w:pPr>
            <w:r>
              <w:rPr>
                <w:rStyle w:val="CharStyle18"/>
              </w:rPr>
              <w:t>ование</w:t>
            </w:r>
          </w:p>
          <w:p>
            <w:pPr>
              <w:pStyle w:val="Style3"/>
              <w:framePr w:w="1020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18"/>
              </w:rPr>
              <w:t>объекта</w:t>
            </w:r>
          </w:p>
          <w:p>
            <w:pPr>
              <w:pStyle w:val="Style3"/>
              <w:framePr w:w="1020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18"/>
              </w:rPr>
              <w:t>закупки</w:t>
            </w:r>
          </w:p>
        </w:tc>
        <w:tc>
          <w:tcPr>
            <w:shd w:val="clear" w:color="auto" w:fill="FFFFFF"/>
            <w:gridSpan w:val="2"/>
            <w:vMerge w:val="restart"/>
            <w:tcBorders>
              <w:left w:val="single" w:sz="4"/>
              <w:top w:val="single" w:sz="4"/>
            </w:tcBorders>
            <w:vAlign w:val="top"/>
          </w:tcPr>
          <w:p>
            <w:pPr>
              <w:pStyle w:val="Style3"/>
              <w:framePr w:w="10202"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18"/>
              </w:rPr>
              <w:t>Наименование</w:t>
            </w:r>
          </w:p>
          <w:p>
            <w:pPr>
              <w:pStyle w:val="Style3"/>
              <w:framePr w:w="10202"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18"/>
              </w:rPr>
              <w:t>показателя</w:t>
            </w:r>
          </w:p>
        </w:tc>
        <w:tc>
          <w:tcPr>
            <w:shd w:val="clear" w:color="auto" w:fill="FFFFFF"/>
            <w:vMerge w:val="restart"/>
            <w:tcBorders>
              <w:left w:val="single" w:sz="4"/>
              <w:top w:val="single" w:sz="4"/>
            </w:tcBorders>
            <w:vAlign w:val="bottom"/>
          </w:tcPr>
          <w:p>
            <w:pPr>
              <w:pStyle w:val="Style3"/>
              <w:framePr w:w="10202"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18"/>
              </w:rPr>
              <w:t>Единиц</w:t>
            </w:r>
          </w:p>
          <w:p>
            <w:pPr>
              <w:pStyle w:val="Style3"/>
              <w:framePr w:w="10202" w:wrap="notBeside" w:vAnchor="text" w:hAnchor="text" w:xAlign="center" w:y="1"/>
              <w:widowControl w:val="0"/>
              <w:keepNext w:val="0"/>
              <w:keepLines w:val="0"/>
              <w:shd w:val="clear" w:color="auto" w:fill="auto"/>
              <w:bidi w:val="0"/>
              <w:jc w:val="left"/>
              <w:spacing w:before="60" w:after="60" w:line="180" w:lineRule="exact"/>
              <w:ind w:left="120" w:right="0" w:firstLine="0"/>
            </w:pPr>
            <w:r>
              <w:rPr>
                <w:rStyle w:val="CharStyle18"/>
              </w:rPr>
              <w:t>а</w:t>
            </w:r>
          </w:p>
          <w:p>
            <w:pPr>
              <w:pStyle w:val="Style3"/>
              <w:framePr w:w="10202" w:wrap="notBeside" w:vAnchor="text" w:hAnchor="text" w:xAlign="center" w:y="1"/>
              <w:widowControl w:val="0"/>
              <w:keepNext w:val="0"/>
              <w:keepLines w:val="0"/>
              <w:shd w:val="clear" w:color="auto" w:fill="auto"/>
              <w:bidi w:val="0"/>
              <w:jc w:val="left"/>
              <w:spacing w:before="60" w:after="60" w:line="180" w:lineRule="exact"/>
              <w:ind w:left="120" w:right="0" w:firstLine="0"/>
            </w:pPr>
            <w:r>
              <w:rPr>
                <w:rStyle w:val="CharStyle18"/>
              </w:rPr>
              <w:t>измерен</w:t>
            </w:r>
          </w:p>
          <w:p>
            <w:pPr>
              <w:pStyle w:val="Style3"/>
              <w:framePr w:w="10202" w:wrap="notBeside" w:vAnchor="text" w:hAnchor="text" w:xAlign="center" w:y="1"/>
              <w:widowControl w:val="0"/>
              <w:keepNext w:val="0"/>
              <w:keepLines w:val="0"/>
              <w:shd w:val="clear" w:color="auto" w:fill="auto"/>
              <w:bidi w:val="0"/>
              <w:jc w:val="left"/>
              <w:spacing w:before="60" w:after="0" w:line="234" w:lineRule="exact"/>
              <w:ind w:left="120" w:right="0" w:firstLine="0"/>
            </w:pPr>
            <w:r>
              <w:rPr>
                <w:rStyle w:val="CharStyle19"/>
              </w:rPr>
              <w:t>ИЯ</w:t>
            </w:r>
          </w:p>
          <w:p>
            <w:pPr>
              <w:pStyle w:val="Style3"/>
              <w:framePr w:w="10202" w:wrap="notBeside" w:vAnchor="text" w:hAnchor="text" w:xAlign="center" w:y="1"/>
              <w:widowControl w:val="0"/>
              <w:keepNext w:val="0"/>
              <w:keepLines w:val="0"/>
              <w:shd w:val="clear" w:color="auto" w:fill="auto"/>
              <w:bidi w:val="0"/>
              <w:jc w:val="left"/>
              <w:spacing w:before="0" w:after="0" w:line="234" w:lineRule="exact"/>
              <w:ind w:left="120" w:right="0" w:firstLine="0"/>
            </w:pPr>
            <w:r>
              <w:rPr>
                <w:rStyle w:val="CharStyle18"/>
              </w:rPr>
              <w:t>показат еля (при наличи и)</w:t>
            </w:r>
          </w:p>
        </w:tc>
        <w:tc>
          <w:tcPr>
            <w:shd w:val="clear" w:color="auto" w:fill="FFFFFF"/>
            <w:gridSpan w:val="3"/>
            <w:tcBorders>
              <w:left w:val="single" w:sz="4"/>
              <w:top w:val="single" w:sz="4"/>
            </w:tcBorders>
            <w:vAlign w:val="bottom"/>
          </w:tcPr>
          <w:p>
            <w:pPr>
              <w:pStyle w:val="Style3"/>
              <w:framePr w:w="1020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Значения показателей</w:t>
            </w:r>
          </w:p>
        </w:tc>
        <w:tc>
          <w:tcPr>
            <w:shd w:val="clear" w:color="auto" w:fill="FFFFFF"/>
            <w:vMerge w:val="restart"/>
            <w:tcBorders>
              <w:left w:val="single" w:sz="4"/>
              <w:right w:val="single" w:sz="4"/>
              <w:top w:val="single" w:sz="4"/>
            </w:tcBorders>
            <w:vAlign w:val="top"/>
          </w:tcPr>
          <w:p>
            <w:pPr>
              <w:pStyle w:val="Style3"/>
              <w:framePr w:w="10202" w:wrap="notBeside" w:vAnchor="text" w:hAnchor="text" w:xAlign="center" w:y="1"/>
              <w:widowControl w:val="0"/>
              <w:keepNext w:val="0"/>
              <w:keepLines w:val="0"/>
              <w:shd w:val="clear" w:color="auto" w:fill="auto"/>
              <w:bidi w:val="0"/>
              <w:spacing w:before="0" w:after="60" w:line="180" w:lineRule="exact"/>
              <w:ind w:left="0" w:right="0" w:firstLine="0"/>
            </w:pPr>
            <w:r>
              <w:rPr>
                <w:rStyle w:val="CharStyle18"/>
              </w:rPr>
              <w:t>Обоснование</w:t>
            </w:r>
          </w:p>
          <w:p>
            <w:pPr>
              <w:pStyle w:val="Style3"/>
              <w:framePr w:w="10202" w:wrap="notBeside" w:vAnchor="text" w:hAnchor="text" w:xAlign="center" w:y="1"/>
              <w:widowControl w:val="0"/>
              <w:keepNext w:val="0"/>
              <w:keepLines w:val="0"/>
              <w:shd w:val="clear" w:color="auto" w:fill="auto"/>
              <w:bidi w:val="0"/>
              <w:spacing w:before="60" w:after="60" w:line="180" w:lineRule="exact"/>
              <w:ind w:left="0" w:right="0" w:firstLine="0"/>
            </w:pPr>
            <w:r>
              <w:rPr>
                <w:rStyle w:val="CharStyle18"/>
              </w:rPr>
              <w:t>необходимости</w:t>
            </w:r>
          </w:p>
          <w:p>
            <w:pPr>
              <w:pStyle w:val="Style3"/>
              <w:framePr w:w="10202" w:wrap="notBeside" w:vAnchor="text" w:hAnchor="text" w:xAlign="center" w:y="1"/>
              <w:widowControl w:val="0"/>
              <w:keepNext w:val="0"/>
              <w:keepLines w:val="0"/>
              <w:shd w:val="clear" w:color="auto" w:fill="auto"/>
              <w:bidi w:val="0"/>
              <w:spacing w:before="60" w:after="0" w:line="234" w:lineRule="exact"/>
              <w:ind w:left="0" w:right="0" w:firstLine="0"/>
            </w:pPr>
            <w:r>
              <w:rPr>
                <w:rStyle w:val="CharStyle18"/>
              </w:rPr>
              <w:t>использования</w:t>
            </w:r>
          </w:p>
          <w:p>
            <w:pPr>
              <w:pStyle w:val="Style3"/>
              <w:framePr w:w="10202" w:wrap="notBeside" w:vAnchor="text" w:hAnchor="text" w:xAlign="center" w:y="1"/>
              <w:widowControl w:val="0"/>
              <w:keepNext w:val="0"/>
              <w:keepLines w:val="0"/>
              <w:shd w:val="clear" w:color="auto" w:fill="auto"/>
              <w:bidi w:val="0"/>
              <w:spacing w:before="0" w:after="0" w:line="234" w:lineRule="exact"/>
              <w:ind w:left="0" w:right="0" w:firstLine="0"/>
            </w:pPr>
            <w:r>
              <w:rPr>
                <w:rStyle w:val="CharStyle18"/>
              </w:rPr>
              <w:t>дополнительных</w:t>
            </w:r>
          </w:p>
          <w:p>
            <w:pPr>
              <w:pStyle w:val="Style3"/>
              <w:framePr w:w="10202" w:wrap="notBeside" w:vAnchor="text" w:hAnchor="text" w:xAlign="center" w:y="1"/>
              <w:widowControl w:val="0"/>
              <w:keepNext w:val="0"/>
              <w:keepLines w:val="0"/>
              <w:shd w:val="clear" w:color="auto" w:fill="auto"/>
              <w:bidi w:val="0"/>
              <w:spacing w:before="0" w:after="0" w:line="234" w:lineRule="exact"/>
              <w:ind w:left="0" w:right="0" w:firstLine="0"/>
            </w:pPr>
            <w:r>
              <w:rPr>
                <w:rStyle w:val="CharStyle18"/>
              </w:rPr>
              <w:t>характеристик</w:t>
            </w:r>
          </w:p>
        </w:tc>
      </w:tr>
      <w:tr>
        <w:trPr>
          <w:trHeight w:val="464" w:hRule="exact"/>
        </w:trPr>
        <w:tc>
          <w:tcPr>
            <w:shd w:val="clear" w:color="auto" w:fill="FFFFFF"/>
            <w:vMerge/>
            <w:tcBorders>
              <w:left w:val="single" w:sz="4"/>
            </w:tcBorders>
            <w:vAlign w:val="top"/>
          </w:tcPr>
          <w:p>
            <w:pPr>
              <w:framePr w:w="10202" w:wrap="notBeside" w:vAnchor="text" w:hAnchor="text" w:xAlign="center" w:y="1"/>
            </w:pPr>
          </w:p>
        </w:tc>
        <w:tc>
          <w:tcPr>
            <w:shd w:val="clear" w:color="auto" w:fill="FFFFFF"/>
            <w:vMerge/>
            <w:tcBorders>
              <w:left w:val="single" w:sz="4"/>
            </w:tcBorders>
            <w:vAlign w:val="top"/>
          </w:tcPr>
          <w:p>
            <w:pPr>
              <w:framePr w:w="10202" w:wrap="notBeside" w:vAnchor="text" w:hAnchor="text" w:xAlign="center" w:y="1"/>
            </w:pPr>
          </w:p>
        </w:tc>
        <w:tc>
          <w:tcPr>
            <w:shd w:val="clear" w:color="auto" w:fill="FFFFFF"/>
            <w:gridSpan w:val="2"/>
            <w:vMerge/>
            <w:tcBorders>
              <w:left w:val="single" w:sz="4"/>
            </w:tcBorders>
            <w:vAlign w:val="top"/>
          </w:tcPr>
          <w:p>
            <w:pPr>
              <w:framePr w:w="10202" w:wrap="notBeside" w:vAnchor="text" w:hAnchor="text" w:xAlign="center" w:y="1"/>
            </w:pPr>
          </w:p>
        </w:tc>
        <w:tc>
          <w:tcPr>
            <w:shd w:val="clear" w:color="auto" w:fill="FFFFFF"/>
            <w:vMerge/>
            <w:tcBorders>
              <w:left w:val="single" w:sz="4"/>
            </w:tcBorders>
            <w:vAlign w:val="bottom"/>
          </w:tcPr>
          <w:p>
            <w:pPr>
              <w:framePr w:w="10202" w:wrap="notBeside" w:vAnchor="text" w:hAnchor="text" w:xAlign="center" w:y="1"/>
            </w:pPr>
          </w:p>
        </w:tc>
        <w:tc>
          <w:tcPr>
            <w:shd w:val="clear" w:color="auto" w:fill="FFFFFF"/>
            <w:gridSpan w:val="2"/>
            <w:tcBorders>
              <w:left w:val="single" w:sz="4"/>
              <w:top w:val="single" w:sz="4"/>
            </w:tcBorders>
            <w:vAlign w:val="bottom"/>
          </w:tcPr>
          <w:p>
            <w:pPr>
              <w:pStyle w:val="Style3"/>
              <w:framePr w:w="10202"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18"/>
              </w:rPr>
              <w:t>Значение показателя, которое может изменяться</w:t>
            </w:r>
          </w:p>
        </w:tc>
        <w:tc>
          <w:tcPr>
            <w:shd w:val="clear" w:color="auto" w:fill="FFFFFF"/>
            <w:vMerge w:val="restart"/>
            <w:tcBorders>
              <w:left w:val="single" w:sz="4"/>
              <w:top w:val="single" w:sz="4"/>
            </w:tcBorders>
            <w:vAlign w:val="top"/>
          </w:tcPr>
          <w:p>
            <w:pPr>
              <w:pStyle w:val="Style3"/>
              <w:framePr w:w="10202" w:wrap="notBeside" w:vAnchor="text" w:hAnchor="text" w:xAlign="center" w:y="1"/>
              <w:widowControl w:val="0"/>
              <w:keepNext w:val="0"/>
              <w:keepLines w:val="0"/>
              <w:shd w:val="clear" w:color="auto" w:fill="auto"/>
              <w:bidi w:val="0"/>
              <w:jc w:val="left"/>
              <w:spacing w:before="0" w:after="0" w:line="227" w:lineRule="exact"/>
              <w:ind w:left="120" w:right="0" w:firstLine="0"/>
            </w:pPr>
            <w:r>
              <w:rPr>
                <w:rStyle w:val="CharStyle18"/>
              </w:rPr>
              <w:t>Значение показател я, которое не может изменятьс я</w:t>
            </w:r>
          </w:p>
        </w:tc>
        <w:tc>
          <w:tcPr>
            <w:shd w:val="clear" w:color="auto" w:fill="FFFFFF"/>
            <w:vMerge/>
            <w:tcBorders>
              <w:left w:val="single" w:sz="4"/>
              <w:right w:val="single" w:sz="4"/>
            </w:tcBorders>
            <w:vAlign w:val="top"/>
          </w:tcPr>
          <w:p>
            <w:pPr>
              <w:framePr w:w="10202" w:wrap="notBeside" w:vAnchor="text" w:hAnchor="text" w:xAlign="center" w:y="1"/>
            </w:pPr>
          </w:p>
        </w:tc>
      </w:tr>
      <w:tr>
        <w:trPr>
          <w:trHeight w:val="1145" w:hRule="exact"/>
        </w:trPr>
        <w:tc>
          <w:tcPr>
            <w:shd w:val="clear" w:color="auto" w:fill="FFFFFF"/>
            <w:vMerge/>
            <w:tcBorders>
              <w:left w:val="single" w:sz="4"/>
            </w:tcBorders>
            <w:vAlign w:val="top"/>
          </w:tcPr>
          <w:p>
            <w:pPr>
              <w:framePr w:w="10202" w:wrap="notBeside" w:vAnchor="text" w:hAnchor="text" w:xAlign="center" w:y="1"/>
            </w:pPr>
          </w:p>
        </w:tc>
        <w:tc>
          <w:tcPr>
            <w:shd w:val="clear" w:color="auto" w:fill="FFFFFF"/>
            <w:vMerge/>
            <w:tcBorders>
              <w:left w:val="single" w:sz="4"/>
            </w:tcBorders>
            <w:vAlign w:val="top"/>
          </w:tcPr>
          <w:p>
            <w:pPr>
              <w:framePr w:w="10202" w:wrap="notBeside" w:vAnchor="text" w:hAnchor="text" w:xAlign="center" w:y="1"/>
            </w:pPr>
          </w:p>
        </w:tc>
        <w:tc>
          <w:tcPr>
            <w:shd w:val="clear" w:color="auto" w:fill="FFFFFF"/>
            <w:gridSpan w:val="2"/>
            <w:vMerge/>
            <w:tcBorders>
              <w:left w:val="single" w:sz="4"/>
            </w:tcBorders>
            <w:vAlign w:val="top"/>
          </w:tcPr>
          <w:p>
            <w:pPr>
              <w:framePr w:w="10202" w:wrap="notBeside" w:vAnchor="text" w:hAnchor="text" w:xAlign="center" w:y="1"/>
            </w:pPr>
          </w:p>
        </w:tc>
        <w:tc>
          <w:tcPr>
            <w:shd w:val="clear" w:color="auto" w:fill="FFFFFF"/>
            <w:vMerge/>
            <w:tcBorders>
              <w:left w:val="single" w:sz="4"/>
            </w:tcBorders>
            <w:vAlign w:val="bottom"/>
          </w:tcPr>
          <w:p>
            <w:pPr>
              <w:framePr w:w="10202" w:wrap="notBeside" w:vAnchor="text" w:hAnchor="text" w:xAlign="center" w:y="1"/>
            </w:pPr>
          </w:p>
        </w:tc>
        <w:tc>
          <w:tcPr>
            <w:shd w:val="clear" w:color="auto" w:fill="FFFFFF"/>
            <w:tcBorders>
              <w:left w:val="single" w:sz="4"/>
              <w:top w:val="single" w:sz="4"/>
            </w:tcBorders>
            <w:vAlign w:val="top"/>
          </w:tcPr>
          <w:p>
            <w:pPr>
              <w:pStyle w:val="Style3"/>
              <w:framePr w:w="10202" w:wrap="notBeside" w:vAnchor="text" w:hAnchor="text" w:xAlign="center" w:y="1"/>
              <w:widowControl w:val="0"/>
              <w:keepNext w:val="0"/>
              <w:keepLines w:val="0"/>
              <w:shd w:val="clear" w:color="auto" w:fill="auto"/>
              <w:bidi w:val="0"/>
              <w:spacing w:before="0" w:after="0" w:line="227" w:lineRule="exact"/>
              <w:ind w:left="0" w:right="0" w:firstLine="0"/>
            </w:pPr>
            <w:r>
              <w:rPr>
                <w:rStyle w:val="CharStyle18"/>
              </w:rPr>
              <w:t>Минимальн ое значение</w:t>
            </w:r>
          </w:p>
        </w:tc>
        <w:tc>
          <w:tcPr>
            <w:shd w:val="clear" w:color="auto" w:fill="FFFFFF"/>
            <w:tcBorders>
              <w:left w:val="single" w:sz="4"/>
              <w:top w:val="single" w:sz="4"/>
            </w:tcBorders>
            <w:vAlign w:val="top"/>
          </w:tcPr>
          <w:p>
            <w:pPr>
              <w:pStyle w:val="Style3"/>
              <w:framePr w:w="10202" w:wrap="notBeside" w:vAnchor="text" w:hAnchor="text" w:xAlign="center" w:y="1"/>
              <w:widowControl w:val="0"/>
              <w:keepNext w:val="0"/>
              <w:keepLines w:val="0"/>
              <w:shd w:val="clear" w:color="auto" w:fill="auto"/>
              <w:bidi w:val="0"/>
              <w:spacing w:before="0" w:after="0" w:line="230" w:lineRule="exact"/>
              <w:ind w:left="0" w:right="0" w:firstLine="0"/>
            </w:pPr>
            <w:r>
              <w:rPr>
                <w:rStyle w:val="CharStyle18"/>
              </w:rPr>
              <w:t>Максимальн ое значение</w:t>
            </w:r>
          </w:p>
        </w:tc>
        <w:tc>
          <w:tcPr>
            <w:shd w:val="clear" w:color="auto" w:fill="FFFFFF"/>
            <w:vMerge/>
            <w:tcBorders>
              <w:left w:val="single" w:sz="4"/>
            </w:tcBorders>
            <w:vAlign w:val="top"/>
          </w:tcPr>
          <w:p>
            <w:pPr>
              <w:framePr w:w="10202" w:wrap="notBeside" w:vAnchor="text" w:hAnchor="text" w:xAlign="center" w:y="1"/>
            </w:pPr>
          </w:p>
        </w:tc>
        <w:tc>
          <w:tcPr>
            <w:shd w:val="clear" w:color="auto" w:fill="FFFFFF"/>
            <w:vMerge/>
            <w:tcBorders>
              <w:left w:val="single" w:sz="4"/>
              <w:right w:val="single" w:sz="4"/>
            </w:tcBorders>
            <w:vAlign w:val="top"/>
          </w:tcPr>
          <w:p>
            <w:pPr>
              <w:framePr w:w="10202" w:wrap="notBeside" w:vAnchor="text" w:hAnchor="text" w:xAlign="center" w:y="1"/>
            </w:pPr>
          </w:p>
        </w:tc>
      </w:tr>
      <w:tr>
        <w:trPr>
          <w:trHeight w:val="238" w:hRule="exact"/>
        </w:trPr>
        <w:tc>
          <w:tcPr>
            <w:shd w:val="clear" w:color="auto" w:fill="FFFFFF"/>
            <w:vMerge w:val="restart"/>
            <w:tcBorders>
              <w:left w:val="single" w:sz="4"/>
              <w:top w:val="single" w:sz="4"/>
            </w:tcBorders>
            <w:vAlign w:val="top"/>
          </w:tcPr>
          <w:p>
            <w:pPr>
              <w:pStyle w:val="Style3"/>
              <w:framePr w:w="10202"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0"/>
              </w:rPr>
              <w:t>1</w:t>
            </w:r>
            <w:r>
              <w:rPr>
                <w:rStyle w:val="CharStyle21"/>
              </w:rPr>
              <w:t>.</w:t>
            </w:r>
          </w:p>
        </w:tc>
        <w:tc>
          <w:tcPr>
            <w:shd w:val="clear" w:color="auto" w:fill="FFFFFF"/>
            <w:vMerge w:val="restart"/>
            <w:tcBorders>
              <w:left w:val="single" w:sz="4"/>
              <w:top w:val="single" w:sz="4"/>
            </w:tcBorders>
            <w:vAlign w:val="top"/>
          </w:tcPr>
          <w:p>
            <w:pPr>
              <w:pStyle w:val="Style3"/>
              <w:framePr w:w="10202" w:wrap="notBeside" w:vAnchor="text" w:hAnchor="text" w:xAlign="center" w:y="1"/>
              <w:widowControl w:val="0"/>
              <w:keepNext w:val="0"/>
              <w:keepLines w:val="0"/>
              <w:shd w:val="clear" w:color="auto" w:fill="auto"/>
              <w:bidi w:val="0"/>
              <w:jc w:val="left"/>
              <w:spacing w:before="0" w:after="180" w:line="223" w:lineRule="exact"/>
              <w:ind w:left="120" w:right="0" w:firstLine="0"/>
            </w:pPr>
            <w:r>
              <w:rPr>
                <w:rStyle w:val="CharStyle18"/>
              </w:rPr>
              <w:t>Стер ил и затор плазмен ный</w:t>
            </w:r>
          </w:p>
          <w:p>
            <w:pPr>
              <w:pStyle w:val="Style3"/>
              <w:framePr w:w="10202" w:wrap="notBeside" w:vAnchor="text" w:hAnchor="text" w:xAlign="center" w:y="1"/>
              <w:widowControl w:val="0"/>
              <w:keepNext w:val="0"/>
              <w:keepLines w:val="0"/>
              <w:shd w:val="clear" w:color="auto" w:fill="auto"/>
              <w:bidi w:val="0"/>
              <w:jc w:val="left"/>
              <w:spacing w:before="180" w:after="0" w:line="230" w:lineRule="exact"/>
              <w:ind w:left="120" w:right="0" w:firstLine="0"/>
            </w:pPr>
            <w:r>
              <w:rPr>
                <w:rStyle w:val="CharStyle18"/>
              </w:rPr>
              <w:t>КТРУ</w:t>
            </w:r>
          </w:p>
          <w:p>
            <w:pPr>
              <w:pStyle w:val="Style3"/>
              <w:framePr w:w="1020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8"/>
              </w:rPr>
              <w:t>32.50.12.</w:t>
            </w:r>
          </w:p>
          <w:p>
            <w:pPr>
              <w:pStyle w:val="Style3"/>
              <w:framePr w:w="1020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8"/>
              </w:rPr>
              <w:t>000-</w:t>
            </w:r>
          </w:p>
          <w:p>
            <w:pPr>
              <w:pStyle w:val="Style3"/>
              <w:framePr w:w="1020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8"/>
              </w:rPr>
              <w:t>0000000</w:t>
            </w:r>
          </w:p>
          <w:p>
            <w:pPr>
              <w:pStyle w:val="Style3"/>
              <w:framePr w:w="1020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8"/>
              </w:rPr>
              <w:t>9</w:t>
            </w:r>
          </w:p>
        </w:tc>
        <w:tc>
          <w:tcPr>
            <w:shd w:val="clear" w:color="auto" w:fill="FFFFFF"/>
            <w:gridSpan w:val="6"/>
            <w:tcBorders>
              <w:left w:val="single" w:sz="4"/>
              <w:top w:val="single" w:sz="4"/>
            </w:tcBorders>
            <w:vAlign w:val="bottom"/>
          </w:tcPr>
          <w:p>
            <w:pPr>
              <w:pStyle w:val="Style3"/>
              <w:framePr w:w="1020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Комплект поставки:</w:t>
            </w:r>
          </w:p>
        </w:tc>
        <w:tc>
          <w:tcPr>
            <w:shd w:val="clear" w:color="auto" w:fill="FFFFFF"/>
            <w:vMerge w:val="restart"/>
            <w:tcBorders>
              <w:left w:val="single" w:sz="4"/>
              <w:right w:val="single" w:sz="4"/>
              <w:top w:val="single" w:sz="4"/>
            </w:tcBorders>
            <w:vAlign w:val="top"/>
          </w:tcPr>
          <w:p>
            <w:pPr>
              <w:pStyle w:val="Style3"/>
              <w:framePr w:w="10202" w:wrap="notBeside" w:vAnchor="text" w:hAnchor="text" w:xAlign="center" w:y="1"/>
              <w:widowControl w:val="0"/>
              <w:keepNext w:val="0"/>
              <w:keepLines w:val="0"/>
              <w:shd w:val="clear" w:color="auto" w:fill="auto"/>
              <w:bidi w:val="0"/>
              <w:spacing w:before="0" w:after="0" w:line="223" w:lineRule="exact"/>
              <w:ind w:left="0" w:right="0" w:firstLine="0"/>
            </w:pPr>
            <w:r>
              <w:rPr>
                <w:rStyle w:val="CharStyle18"/>
              </w:rPr>
              <w:t>Комплект поставки для ввода оборудования в эксплуатацию и начала работы</w:t>
            </w:r>
          </w:p>
        </w:tc>
      </w:tr>
      <w:tr>
        <w:trPr>
          <w:trHeight w:val="914" w:hRule="exact"/>
        </w:trPr>
        <w:tc>
          <w:tcPr>
            <w:shd w:val="clear" w:color="auto" w:fill="FFFFFF"/>
            <w:vMerge/>
            <w:tcBorders>
              <w:left w:val="single" w:sz="4"/>
            </w:tcBorders>
            <w:vAlign w:val="top"/>
          </w:tcPr>
          <w:p>
            <w:pPr>
              <w:framePr w:w="10202" w:wrap="notBeside" w:vAnchor="text" w:hAnchor="text" w:xAlign="center" w:y="1"/>
            </w:pPr>
          </w:p>
        </w:tc>
        <w:tc>
          <w:tcPr>
            <w:shd w:val="clear" w:color="auto" w:fill="FFFFFF"/>
            <w:vMerge/>
            <w:tcBorders>
              <w:left w:val="single" w:sz="4"/>
            </w:tcBorders>
            <w:vAlign w:val="top"/>
          </w:tcPr>
          <w:p>
            <w:pPr>
              <w:framePr w:w="10202" w:wrap="notBeside" w:vAnchor="text" w:hAnchor="text" w:xAlign="center" w:y="1"/>
            </w:pPr>
          </w:p>
        </w:tc>
        <w:tc>
          <w:tcPr>
            <w:shd w:val="clear" w:color="auto" w:fill="FFFFFF"/>
            <w:tcBorders>
              <w:left w:val="single" w:sz="4"/>
              <w:top w:val="single" w:sz="4"/>
            </w:tcBorders>
            <w:vAlign w:val="bottom"/>
          </w:tcPr>
          <w:p>
            <w:pPr>
              <w:pStyle w:val="Style3"/>
              <w:framePr w:w="10202" w:wrap="notBeside" w:vAnchor="text" w:hAnchor="text" w:xAlign="center" w:y="1"/>
              <w:widowControl w:val="0"/>
              <w:keepNext w:val="0"/>
              <w:keepLines w:val="0"/>
              <w:shd w:val="clear" w:color="auto" w:fill="auto"/>
              <w:bidi w:val="0"/>
              <w:jc w:val="left"/>
              <w:spacing w:before="0" w:after="0" w:line="223" w:lineRule="exact"/>
              <w:ind w:left="120" w:right="0" w:firstLine="0"/>
            </w:pPr>
            <w:r>
              <w:rPr>
                <w:rStyle w:val="CharStyle18"/>
              </w:rPr>
              <w:t>Стерилизатор</w:t>
            </w:r>
          </w:p>
          <w:p>
            <w:pPr>
              <w:pStyle w:val="Style3"/>
              <w:framePr w:w="10202" w:wrap="notBeside" w:vAnchor="text" w:hAnchor="text" w:xAlign="center" w:y="1"/>
              <w:widowControl w:val="0"/>
              <w:keepNext w:val="0"/>
              <w:keepLines w:val="0"/>
              <w:shd w:val="clear" w:color="auto" w:fill="auto"/>
              <w:bidi w:val="0"/>
              <w:jc w:val="left"/>
              <w:spacing w:before="0" w:after="0" w:line="223" w:lineRule="exact"/>
              <w:ind w:left="120" w:right="0" w:firstLine="0"/>
            </w:pPr>
            <w:r>
              <w:rPr>
                <w:rStyle w:val="CharStyle18"/>
              </w:rPr>
              <w:t>плазменный</w:t>
            </w:r>
          </w:p>
          <w:p>
            <w:pPr>
              <w:pStyle w:val="Style3"/>
              <w:framePr w:w="10202" w:wrap="notBeside" w:vAnchor="text" w:hAnchor="text" w:xAlign="center" w:y="1"/>
              <w:widowControl w:val="0"/>
              <w:keepNext w:val="0"/>
              <w:keepLines w:val="0"/>
              <w:shd w:val="clear" w:color="auto" w:fill="auto"/>
              <w:bidi w:val="0"/>
              <w:jc w:val="left"/>
              <w:spacing w:before="0" w:after="0" w:line="223" w:lineRule="exact"/>
              <w:ind w:left="120" w:right="0" w:firstLine="0"/>
            </w:pPr>
            <w:r>
              <w:rPr>
                <w:rStyle w:val="CharStyle18"/>
              </w:rPr>
              <w:t>низкотемперату</w:t>
            </w:r>
          </w:p>
          <w:p>
            <w:pPr>
              <w:pStyle w:val="Style3"/>
              <w:framePr w:w="10202" w:wrap="notBeside" w:vAnchor="text" w:hAnchor="text" w:xAlign="center" w:y="1"/>
              <w:widowControl w:val="0"/>
              <w:keepNext w:val="0"/>
              <w:keepLines w:val="0"/>
              <w:shd w:val="clear" w:color="auto" w:fill="auto"/>
              <w:bidi w:val="0"/>
              <w:jc w:val="left"/>
              <w:spacing w:before="0" w:after="0" w:line="223" w:lineRule="exact"/>
              <w:ind w:left="120" w:right="0" w:firstLine="0"/>
            </w:pPr>
            <w:r>
              <w:rPr>
                <w:rStyle w:val="CharStyle18"/>
              </w:rPr>
              <w:t>рный</w:t>
            </w:r>
          </w:p>
        </w:tc>
        <w:tc>
          <w:tcPr>
            <w:shd w:val="clear" w:color="auto" w:fill="FFFFFF"/>
            <w:gridSpan w:val="2"/>
            <w:tcBorders>
              <w:left w:val="single" w:sz="4"/>
              <w:top w:val="single" w:sz="4"/>
            </w:tcBorders>
            <w:vAlign w:val="top"/>
          </w:tcPr>
          <w:p>
            <w:pPr>
              <w:pStyle w:val="Style3"/>
              <w:framePr w:w="1020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шт.</w:t>
            </w:r>
          </w:p>
        </w:tc>
        <w:tc>
          <w:tcPr>
            <w:shd w:val="clear" w:color="auto" w:fill="FFFFFF"/>
            <w:tcBorders>
              <w:left w:val="single" w:sz="4"/>
              <w:top w:val="single" w:sz="4"/>
            </w:tcBorders>
            <w:vAlign w:val="top"/>
          </w:tcPr>
          <w:p>
            <w:pPr>
              <w:pStyle w:val="Style3"/>
              <w:framePr w:w="1020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1</w:t>
            </w:r>
          </w:p>
        </w:tc>
        <w:tc>
          <w:tcPr>
            <w:shd w:val="clear" w:color="auto" w:fill="FFFFFF"/>
            <w:tcBorders>
              <w:left w:val="single" w:sz="4"/>
              <w:top w:val="single" w:sz="4"/>
            </w:tcBorders>
            <w:vAlign w:val="top"/>
          </w:tcPr>
          <w:p>
            <w:pPr>
              <w:framePr w:w="1020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02" w:wrap="notBeside" w:vAnchor="text" w:hAnchor="text" w:xAlign="center" w:y="1"/>
              <w:widowControl w:val="0"/>
              <w:rPr>
                <w:sz w:val="10"/>
                <w:szCs w:val="10"/>
              </w:rPr>
            </w:pPr>
          </w:p>
        </w:tc>
        <w:tc>
          <w:tcPr>
            <w:shd w:val="clear" w:color="auto" w:fill="FFFFFF"/>
            <w:vMerge/>
            <w:tcBorders>
              <w:left w:val="single" w:sz="4"/>
              <w:right w:val="single" w:sz="4"/>
            </w:tcBorders>
            <w:vAlign w:val="top"/>
          </w:tcPr>
          <w:p>
            <w:pPr>
              <w:framePr w:w="10202" w:wrap="notBeside" w:vAnchor="text" w:hAnchor="text" w:xAlign="center" w:y="1"/>
            </w:pPr>
          </w:p>
        </w:tc>
      </w:tr>
      <w:tr>
        <w:trPr>
          <w:trHeight w:val="1498" w:hRule="exact"/>
        </w:trPr>
        <w:tc>
          <w:tcPr>
            <w:shd w:val="clear" w:color="auto" w:fill="FFFFFF"/>
            <w:vMerge/>
            <w:tcBorders>
              <w:left w:val="single" w:sz="4"/>
              <w:bottom w:val="single" w:sz="4"/>
            </w:tcBorders>
            <w:vAlign w:val="top"/>
          </w:tcPr>
          <w:p>
            <w:pPr>
              <w:framePr w:w="10202" w:wrap="notBeside" w:vAnchor="text" w:hAnchor="text" w:xAlign="center" w:y="1"/>
            </w:pPr>
          </w:p>
        </w:tc>
        <w:tc>
          <w:tcPr>
            <w:shd w:val="clear" w:color="auto" w:fill="FFFFFF"/>
            <w:vMerge/>
            <w:tcBorders>
              <w:left w:val="single" w:sz="4"/>
              <w:bottom w:val="single" w:sz="4"/>
            </w:tcBorders>
            <w:vAlign w:val="top"/>
          </w:tcPr>
          <w:p>
            <w:pPr>
              <w:framePr w:w="10202" w:wrap="notBeside" w:vAnchor="text" w:hAnchor="text" w:xAlign="center" w:y="1"/>
            </w:pPr>
          </w:p>
        </w:tc>
        <w:tc>
          <w:tcPr>
            <w:shd w:val="clear" w:color="auto" w:fill="FFFFFF"/>
            <w:tcBorders>
              <w:left w:val="single" w:sz="4"/>
              <w:top w:val="single" w:sz="4"/>
              <w:bottom w:val="single" w:sz="4"/>
            </w:tcBorders>
            <w:vAlign w:val="top"/>
          </w:tcPr>
          <w:p>
            <w:pPr>
              <w:pStyle w:val="Style3"/>
              <w:framePr w:w="1020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8"/>
              </w:rPr>
              <w:t>Стол для</w:t>
            </w:r>
          </w:p>
          <w:p>
            <w:pPr>
              <w:pStyle w:val="Style3"/>
              <w:framePr w:w="1020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8"/>
              </w:rPr>
              <w:t>установки и</w:t>
            </w:r>
          </w:p>
          <w:p>
            <w:pPr>
              <w:pStyle w:val="Style3"/>
              <w:framePr w:w="1020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8"/>
              </w:rPr>
              <w:t>перемещения</w:t>
            </w:r>
          </w:p>
          <w:p>
            <w:pPr>
              <w:pStyle w:val="Style3"/>
              <w:framePr w:w="1020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8"/>
              </w:rPr>
              <w:t>стерилизатора,</w:t>
            </w:r>
          </w:p>
          <w:p>
            <w:pPr>
              <w:pStyle w:val="Style3"/>
              <w:framePr w:w="1020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8"/>
              </w:rPr>
              <w:t>оборудованный</w:t>
            </w:r>
          </w:p>
          <w:p>
            <w:pPr>
              <w:pStyle w:val="Style3"/>
              <w:framePr w:w="1020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18"/>
              </w:rPr>
              <w:t>колесиками</w:t>
            </w:r>
          </w:p>
        </w:tc>
        <w:tc>
          <w:tcPr>
            <w:shd w:val="clear" w:color="auto" w:fill="FFFFFF"/>
            <w:gridSpan w:val="2"/>
            <w:tcBorders>
              <w:left w:val="single" w:sz="4"/>
              <w:top w:val="single" w:sz="4"/>
              <w:bottom w:val="single" w:sz="4"/>
            </w:tcBorders>
            <w:vAlign w:val="top"/>
          </w:tcPr>
          <w:p>
            <w:pPr>
              <w:pStyle w:val="Style3"/>
              <w:framePr w:w="1020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шт.</w:t>
            </w:r>
          </w:p>
        </w:tc>
        <w:tc>
          <w:tcPr>
            <w:shd w:val="clear" w:color="auto" w:fill="FFFFFF"/>
            <w:tcBorders>
              <w:left w:val="single" w:sz="4"/>
              <w:top w:val="single" w:sz="4"/>
              <w:bottom w:val="single" w:sz="4"/>
            </w:tcBorders>
            <w:vAlign w:val="top"/>
          </w:tcPr>
          <w:p>
            <w:pPr>
              <w:pStyle w:val="Style3"/>
              <w:framePr w:w="1020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8"/>
              </w:rPr>
              <w:t>1</w:t>
            </w:r>
          </w:p>
        </w:tc>
        <w:tc>
          <w:tcPr>
            <w:shd w:val="clear" w:color="auto" w:fill="FFFFFF"/>
            <w:tcBorders>
              <w:left w:val="single" w:sz="4"/>
              <w:top w:val="single" w:sz="4"/>
              <w:bottom w:val="single" w:sz="4"/>
            </w:tcBorders>
            <w:vAlign w:val="top"/>
          </w:tcPr>
          <w:p>
            <w:pPr>
              <w:framePr w:w="10202"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02" w:wrap="notBeside" w:vAnchor="text" w:hAnchor="text" w:xAlign="center" w:y="1"/>
              <w:widowControl w:val="0"/>
              <w:rPr>
                <w:sz w:val="10"/>
                <w:szCs w:val="10"/>
              </w:rPr>
            </w:pPr>
          </w:p>
        </w:tc>
        <w:tc>
          <w:tcPr>
            <w:shd w:val="clear" w:color="auto" w:fill="FFFFFF"/>
            <w:vMerge/>
            <w:tcBorders>
              <w:left w:val="single" w:sz="4"/>
              <w:right w:val="single" w:sz="4"/>
              <w:bottom w:val="single" w:sz="4"/>
            </w:tcBorders>
            <w:vAlign w:val="top"/>
          </w:tcPr>
          <w:p>
            <w:pPr>
              <w:framePr w:w="10202" w:wrap="notBeside" w:vAnchor="text" w:hAnchor="text" w:xAlign="center" w:y="1"/>
            </w:pPr>
          </w:p>
        </w:tc>
      </w:tr>
    </w:tbl>
    <w:p>
      <w:pPr>
        <w:widowControl w:val="0"/>
        <w:rPr>
          <w:sz w:val="2"/>
          <w:szCs w:val="2"/>
        </w:rPr>
      </w:pPr>
    </w:p>
    <w:p>
      <w:pPr>
        <w:pStyle w:val="Style3"/>
        <w:widowControl w:val="0"/>
        <w:keepNext w:val="0"/>
        <w:keepLines w:val="0"/>
        <w:shd w:val="clear" w:color="auto" w:fill="auto"/>
        <w:bidi w:val="0"/>
        <w:spacing w:before="251" w:after="0" w:line="295" w:lineRule="exact"/>
        <w:ind w:left="120" w:right="460" w:firstLine="700"/>
      </w:pPr>
      <w:r>
        <w:rPr>
          <w:lang w:val="ru-RU" w:eastAsia="ru-RU" w:bidi="ru-RU"/>
          <w:sz w:val="24"/>
          <w:szCs w:val="24"/>
          <w:w w:val="100"/>
          <w:spacing w:val="0"/>
          <w:color w:val="000000"/>
          <w:position w:val="0"/>
        </w:rPr>
        <w:t>Показатели «Стерилизатор плазменный низкотемпературный», «Стол для установки и перемещения стерилизатора, оборудованный колесиками» имеют количественное выражение (единица измерения - шт.). Вместе с тем, указанные показатели должны быть конкретными и подлежат указанию в столбце «Значение показателя, которое не может изменяться». Таким образом, указанные положения раздела II. «Описание объекта закупки (Техническое задание)» документации об электронном аукционе нарушают требования п. 1 ч. 1 ст. 33, п. 1 ч. 1 ст. 64 Закона о контрактной системе.</w:t>
      </w:r>
    </w:p>
    <w:p>
      <w:pPr>
        <w:pStyle w:val="Style3"/>
        <w:numPr>
          <w:ilvl w:val="0"/>
          <w:numId w:val="11"/>
        </w:numPr>
        <w:tabs>
          <w:tab w:leader="none" w:pos="1514" w:val="left"/>
        </w:tabs>
        <w:widowControl w:val="0"/>
        <w:keepNext w:val="0"/>
        <w:keepLines w:val="0"/>
        <w:shd w:val="clear" w:color="auto" w:fill="auto"/>
        <w:bidi w:val="0"/>
        <w:spacing w:before="0" w:after="0" w:line="295" w:lineRule="exact"/>
        <w:ind w:left="120" w:right="460" w:firstLine="700"/>
      </w:pPr>
      <w:r>
        <w:rPr>
          <w:lang w:val="ru-RU" w:eastAsia="ru-RU" w:bidi="ru-RU"/>
          <w:sz w:val="24"/>
          <w:szCs w:val="24"/>
          <w:w w:val="100"/>
          <w:spacing w:val="0"/>
          <w:color w:val="000000"/>
          <w:position w:val="0"/>
        </w:rPr>
        <w:t>Протокол не содержит в полном объеме информации об отказе в допуске к участию Заявителя в аукционе. Аукционной комиссией в Протоколе указана только часть положений заявки Заявителя на участие в аукционе, которая не соответствует требованиям документации об электронном аукционе, что нарушает требования п. 2</w:t>
      </w:r>
    </w:p>
    <w:p>
      <w:pPr>
        <w:pStyle w:val="Style3"/>
        <w:tabs>
          <w:tab w:leader="none" w:pos="429" w:val="left"/>
        </w:tabs>
        <w:widowControl w:val="0"/>
        <w:keepNext w:val="0"/>
        <w:keepLines w:val="0"/>
        <w:shd w:val="clear" w:color="auto" w:fill="auto"/>
        <w:bidi w:val="0"/>
        <w:spacing w:before="0" w:after="0" w:line="295" w:lineRule="exact"/>
        <w:ind w:left="120" w:right="0" w:firstLine="0"/>
      </w:pPr>
      <w:r>
        <w:rPr>
          <w:lang w:val="ru-RU" w:eastAsia="ru-RU" w:bidi="ru-RU"/>
          <w:sz w:val="24"/>
          <w:szCs w:val="24"/>
          <w:w w:val="100"/>
          <w:spacing w:val="0"/>
          <w:color w:val="000000"/>
          <w:position w:val="0"/>
        </w:rPr>
        <w:t>ч.</w:t>
        <w:tab/>
        <w:t>6 ст. 67 Закона о контрактной системе.</w:t>
      </w:r>
    </w:p>
    <w:p>
      <w:pPr>
        <w:pStyle w:val="Style3"/>
        <w:widowControl w:val="0"/>
        <w:keepNext w:val="0"/>
        <w:keepLines w:val="0"/>
        <w:shd w:val="clear" w:color="auto" w:fill="auto"/>
        <w:bidi w:val="0"/>
        <w:spacing w:before="0" w:after="341" w:line="292" w:lineRule="exact"/>
        <w:ind w:left="120" w:right="460" w:firstLine="700"/>
      </w:pPr>
      <w:r>
        <w:rPr>
          <w:lang w:val="ru-RU" w:eastAsia="ru-RU" w:bidi="ru-RU"/>
          <w:sz w:val="24"/>
          <w:szCs w:val="24"/>
          <w:w w:val="100"/>
          <w:spacing w:val="0"/>
          <w:color w:val="000000"/>
          <w:position w:val="0"/>
        </w:rPr>
        <w:t>На основании вышеизложенного, Комиссия Управления, руководствуясь ст. ст. 99,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России от 19.11.2014 № 727/14,</w:t>
      </w:r>
    </w:p>
    <w:p>
      <w:pPr>
        <w:pStyle w:val="Style12"/>
        <w:widowControl w:val="0"/>
        <w:keepNext/>
        <w:keepLines/>
        <w:shd w:val="clear" w:color="auto" w:fill="auto"/>
        <w:bidi w:val="0"/>
        <w:jc w:val="center"/>
        <w:spacing w:before="0" w:after="251" w:line="240" w:lineRule="exact"/>
        <w:ind w:left="0" w:right="340" w:firstLine="0"/>
      </w:pPr>
      <w:bookmarkStart w:id="3" w:name="bookmark3"/>
      <w:r>
        <w:rPr>
          <w:rStyle w:val="CharStyle22"/>
          <w:b/>
          <w:bCs/>
        </w:rPr>
        <w:t>РЕШИЛА:</w:t>
      </w:r>
      <w:bookmarkEnd w:id="3"/>
    </w:p>
    <w:p>
      <w:pPr>
        <w:pStyle w:val="Style3"/>
        <w:numPr>
          <w:ilvl w:val="0"/>
          <w:numId w:val="13"/>
        </w:numPr>
        <w:tabs>
          <w:tab w:leader="none" w:pos="1514" w:val="left"/>
        </w:tabs>
        <w:widowControl w:val="0"/>
        <w:keepNext w:val="0"/>
        <w:keepLines w:val="0"/>
        <w:shd w:val="clear" w:color="auto" w:fill="auto"/>
        <w:bidi w:val="0"/>
        <w:spacing w:before="0" w:after="0" w:line="240" w:lineRule="exact"/>
        <w:ind w:left="120" w:right="0" w:firstLine="700"/>
      </w:pPr>
      <w:r>
        <w:rPr>
          <w:lang w:val="ru-RU" w:eastAsia="ru-RU" w:bidi="ru-RU"/>
          <w:sz w:val="24"/>
          <w:szCs w:val="24"/>
          <w:w w:val="100"/>
          <w:spacing w:val="0"/>
          <w:color w:val="000000"/>
          <w:position w:val="0"/>
        </w:rPr>
        <w:t>Признать жалобу ООО «ПрофМедСнаб» необоснованной.</w:t>
      </w:r>
      <w:r>
        <w:br w:type="page"/>
      </w:r>
    </w:p>
    <w:p>
      <w:pPr>
        <w:pStyle w:val="Style3"/>
        <w:numPr>
          <w:ilvl w:val="0"/>
          <w:numId w:val="13"/>
        </w:numPr>
        <w:tabs>
          <w:tab w:leader="none" w:pos="1322" w:val="left"/>
        </w:tabs>
        <w:widowControl w:val="0"/>
        <w:keepNext w:val="0"/>
        <w:keepLines w:val="0"/>
        <w:shd w:val="clear" w:color="auto" w:fill="auto"/>
        <w:bidi w:val="0"/>
        <w:spacing w:before="0" w:after="0" w:line="299" w:lineRule="exact"/>
        <w:ind w:left="0" w:right="420" w:firstLine="700"/>
      </w:pPr>
      <w:r>
        <w:rPr>
          <w:lang w:val="ru-RU" w:eastAsia="ru-RU" w:bidi="ru-RU"/>
          <w:sz w:val="24"/>
          <w:szCs w:val="24"/>
          <w:w w:val="100"/>
          <w:spacing w:val="0"/>
          <w:color w:val="000000"/>
          <w:position w:val="0"/>
        </w:rPr>
        <w:t>Признать Заказчика, нарушившим п. 1 ч. 1 ст. 33, п. 1 ч. 1 ст. 64, п. 2 ч. 6 ст. 67 Закона о контрактной системе.</w:t>
      </w:r>
    </w:p>
    <w:p>
      <w:pPr>
        <w:pStyle w:val="Style3"/>
        <w:numPr>
          <w:ilvl w:val="0"/>
          <w:numId w:val="13"/>
        </w:numPr>
        <w:tabs>
          <w:tab w:leader="none" w:pos="1322" w:val="left"/>
        </w:tabs>
        <w:widowControl w:val="0"/>
        <w:keepNext w:val="0"/>
        <w:keepLines w:val="0"/>
        <w:shd w:val="clear" w:color="auto" w:fill="auto"/>
        <w:bidi w:val="0"/>
        <w:spacing w:before="0" w:after="0" w:line="299" w:lineRule="exact"/>
        <w:ind w:left="0" w:right="0" w:firstLine="700"/>
      </w:pPr>
      <w:r>
        <w:rPr>
          <w:lang w:val="ru-RU" w:eastAsia="ru-RU" w:bidi="ru-RU"/>
          <w:sz w:val="24"/>
          <w:szCs w:val="24"/>
          <w:w w:val="100"/>
          <w:spacing w:val="0"/>
          <w:color w:val="000000"/>
          <w:position w:val="0"/>
        </w:rPr>
        <w:t>Выдать предписание.</w:t>
      </w:r>
    </w:p>
    <w:p>
      <w:pPr>
        <w:pStyle w:val="Style3"/>
        <w:numPr>
          <w:ilvl w:val="0"/>
          <w:numId w:val="13"/>
        </w:numPr>
        <w:tabs>
          <w:tab w:leader="none" w:pos="1322" w:val="left"/>
        </w:tabs>
        <w:widowControl w:val="0"/>
        <w:keepNext w:val="0"/>
        <w:keepLines w:val="0"/>
        <w:shd w:val="clear" w:color="auto" w:fill="auto"/>
        <w:bidi w:val="0"/>
        <w:spacing w:before="0" w:after="0" w:line="299" w:lineRule="exact"/>
        <w:ind w:left="0" w:right="420" w:firstLine="700"/>
      </w:pPr>
      <w:r>
        <w:rPr>
          <w:lang w:val="ru-RU" w:eastAsia="ru-RU" w:bidi="ru-RU"/>
          <w:sz w:val="24"/>
          <w:szCs w:val="24"/>
          <w:w w:val="100"/>
          <w:spacing w:val="0"/>
          <w:color w:val="000000"/>
          <w:position w:val="0"/>
        </w:rPr>
        <w:t>Передать материалы дела уполномоченному должностному лицу для решения вопроса о привлечении виновного лица к административной ответственности</w:t>
      </w:r>
    </w:p>
    <w:p>
      <w:pPr>
        <w:pStyle w:val="Style3"/>
        <w:numPr>
          <w:ilvl w:val="0"/>
          <w:numId w:val="13"/>
        </w:numPr>
        <w:widowControl w:val="0"/>
        <w:keepNext w:val="0"/>
        <w:keepLines w:val="0"/>
        <w:shd w:val="clear" w:color="auto" w:fill="auto"/>
        <w:bidi w:val="0"/>
        <w:spacing w:before="0" w:after="266" w:line="299" w:lineRule="exact"/>
        <w:ind w:left="0" w:right="420" w:firstLine="700"/>
      </w:pPr>
      <w:r>
        <w:rPr>
          <w:lang w:val="ru-RU" w:eastAsia="ru-RU" w:bidi="ru-RU"/>
          <w:sz w:val="24"/>
          <w:szCs w:val="24"/>
          <w:w w:val="100"/>
          <w:spacing w:val="0"/>
          <w:color w:val="000000"/>
          <w:position w:val="0"/>
        </w:rPr>
        <w:t xml:space="preserve"> Требование о приостановлении определения поставщика (подрядчика, исполнителя) в части подписания контракта, установленное Управлением на основании ч. 7 ст. 106 Закона о контрактной системе, отменить.</w:t>
      </w:r>
    </w:p>
    <w:p>
      <w:pPr>
        <w:pStyle w:val="Style3"/>
        <w:framePr w:w="2264" w:h="1170" w:wrap="around" w:vAnchor="text" w:hAnchor="margin" w:x="7689" w:y="820"/>
        <w:widowControl w:val="0"/>
        <w:keepNext w:val="0"/>
        <w:keepLines w:val="0"/>
        <w:shd w:val="clear" w:color="auto" w:fill="auto"/>
        <w:bidi w:val="0"/>
        <w:jc w:val="right"/>
        <w:spacing w:before="0" w:after="0" w:line="583" w:lineRule="exact"/>
        <w:ind w:left="100" w:right="100" w:firstLine="0"/>
      </w:pPr>
      <w:r>
        <w:rPr>
          <w:rStyle w:val="CharStyle4"/>
          <w:spacing w:val="0"/>
        </w:rPr>
        <w:t>А.А. Ростиславова Ю.Н. Кузнецова</w:t>
      </w:r>
    </w:p>
    <w:p>
      <w:pPr>
        <w:pStyle w:val="Style5"/>
        <w:widowControl w:val="0"/>
        <w:keepNext w:val="0"/>
        <w:keepLines w:val="0"/>
        <w:shd w:val="clear" w:color="auto" w:fill="auto"/>
        <w:bidi w:val="0"/>
        <w:jc w:val="both"/>
        <w:spacing w:before="0" w:after="278" w:line="266" w:lineRule="exact"/>
        <w:ind w:left="0" w:right="420" w:firstLine="70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3"/>
        <w:widowControl w:val="0"/>
        <w:keepNext w:val="0"/>
        <w:keepLines w:val="0"/>
        <w:shd w:val="clear" w:color="auto" w:fill="auto"/>
        <w:bidi w:val="0"/>
        <w:jc w:val="left"/>
        <w:spacing w:before="0" w:after="0" w:line="594" w:lineRule="exact"/>
        <w:ind w:left="0" w:right="4280" w:firstLine="0"/>
      </w:pPr>
      <w:r>
        <w:rPr>
          <w:lang w:val="ru-RU" w:eastAsia="ru-RU" w:bidi="ru-RU"/>
          <w:sz w:val="24"/>
          <w:szCs w:val="24"/>
          <w:w w:val="100"/>
          <w:spacing w:val="0"/>
          <w:color w:val="000000"/>
          <w:position w:val="0"/>
        </w:rPr>
        <w:t>Председатель комиссии Члены комиссии:</w:t>
      </w:r>
    </w:p>
    <w:p>
      <w:pPr>
        <w:pStyle w:val="Style3"/>
        <w:widowControl w:val="0"/>
        <w:keepNext w:val="0"/>
        <w:keepLines w:val="0"/>
        <w:shd w:val="clear" w:color="auto" w:fill="auto"/>
        <w:bidi w:val="0"/>
        <w:jc w:val="right"/>
        <w:spacing w:before="0" w:after="0" w:line="240" w:lineRule="exact"/>
        <w:ind w:left="0" w:right="240" w:firstLine="0"/>
      </w:pPr>
      <w:r>
        <w:rPr>
          <w:lang w:val="ru-RU" w:eastAsia="ru-RU" w:bidi="ru-RU"/>
          <w:sz w:val="24"/>
          <w:szCs w:val="24"/>
          <w:w w:val="100"/>
          <w:spacing w:val="0"/>
          <w:color w:val="000000"/>
          <w:position w:val="0"/>
        </w:rPr>
        <w:t>А.А. Коренникова</w:t>
      </w:r>
    </w:p>
    <w:sectPr>
      <w:footnotePr>
        <w:pos w:val="pageBottom"/>
        <w:numFmt w:val="decimal"/>
        <w:numRestart w:val="continuous"/>
      </w:footnotePr>
      <w:type w:val="continuous"/>
      <w:pgSz w:w="11906" w:h="16838"/>
      <w:pgMar w:top="610" w:left="1322" w:right="375" w:bottom="159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1.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0.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4"/>
    </w:rPr>
  </w:style>
  <w:style w:type="character" w:customStyle="1" w:styleId="CharStyle6">
    <w:name w:val="Основной текст (2)_"/>
    <w:basedOn w:val="DefaultParagraphFont"/>
    <w:link w:val="Style5"/>
    <w:rPr>
      <w:b w:val="0"/>
      <w:bCs w:val="0"/>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rFonts w:ascii="Times New Roman" w:eastAsia="Times New Roman" w:hAnsi="Times New Roman" w:cs="Times New Roman"/>
    </w:rPr>
  </w:style>
  <w:style w:type="character" w:customStyle="1" w:styleId="CharStyle9">
    <w:name w:val="Основной текст (3) + 10,5 pt,Не полужирный"/>
    <w:basedOn w:val="CharStyle8"/>
    <w:rPr>
      <w:lang w:val="ru-RU" w:eastAsia="ru-RU" w:bidi="ru-RU"/>
      <w:b/>
      <w:bCs/>
      <w:sz w:val="21"/>
      <w:szCs w:val="21"/>
      <w:w w:val="100"/>
      <w:spacing w:val="0"/>
      <w:color w:val="000000"/>
      <w:position w:val="0"/>
    </w:rPr>
  </w:style>
  <w:style w:type="character" w:customStyle="1" w:styleId="CharStyle10">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w:basedOn w:val="CharStyle10"/>
    <w:rPr>
      <w:lang w:val="en-US" w:eastAsia="en-US" w:bidi="en-US"/>
      <w:u w:val="single"/>
      <w:sz w:val="24"/>
      <w:szCs w:val="24"/>
      <w:w w:val="100"/>
      <w:spacing w:val="0"/>
      <w:color w:val="000000"/>
      <w:position w:val="0"/>
    </w:rPr>
  </w:style>
  <w:style w:type="character" w:customStyle="1" w:styleId="CharStyle13">
    <w:name w:val="Заголовок №2_"/>
    <w:basedOn w:val="DefaultParagraphFont"/>
    <w:link w:val="Style12"/>
    <w:rPr>
      <w:b/>
      <w:bCs/>
      <w:i w:val="0"/>
      <w:iCs w:val="0"/>
      <w:u w:val="none"/>
      <w:strike w:val="0"/>
      <w:smallCaps w:val="0"/>
      <w:rFonts w:ascii="Times New Roman" w:eastAsia="Times New Roman" w:hAnsi="Times New Roman" w:cs="Times New Roman"/>
    </w:rPr>
  </w:style>
  <w:style w:type="character" w:customStyle="1" w:styleId="CharStyle15">
    <w:name w:val="Заголовок №1_"/>
    <w:basedOn w:val="DefaultParagraphFont"/>
    <w:link w:val="Style14"/>
    <w:rPr>
      <w:b w:val="0"/>
      <w:bCs w:val="0"/>
      <w:i w:val="0"/>
      <w:iCs w:val="0"/>
      <w:u w:val="none"/>
      <w:strike w:val="0"/>
      <w:smallCaps w:val="0"/>
      <w:rFonts w:ascii="Times New Roman" w:eastAsia="Times New Roman" w:hAnsi="Times New Roman" w:cs="Times New Roman"/>
    </w:rPr>
  </w:style>
  <w:style w:type="character" w:customStyle="1" w:styleId="CharStyle16">
    <w:name w:val="Заголовок №1"/>
    <w:basedOn w:val="CharStyle15"/>
    <w:rPr>
      <w:lang w:val="ru-RU" w:eastAsia="ru-RU" w:bidi="ru-RU"/>
      <w:sz w:val="24"/>
      <w:szCs w:val="24"/>
      <w:w w:val="100"/>
      <w:spacing w:val="0"/>
      <w:color w:val="000000"/>
      <w:position w:val="0"/>
    </w:rPr>
  </w:style>
  <w:style w:type="character" w:customStyle="1" w:styleId="CharStyle17">
    <w:name w:val="Основной текст"/>
    <w:basedOn w:val="CharStyle10"/>
    <w:rPr>
      <w:lang w:val="ru-RU" w:eastAsia="ru-RU" w:bidi="ru-RU"/>
      <w:sz w:val="24"/>
      <w:szCs w:val="24"/>
      <w:w w:val="100"/>
      <w:spacing w:val="0"/>
      <w:color w:val="000000"/>
      <w:position w:val="0"/>
    </w:rPr>
  </w:style>
  <w:style w:type="character" w:customStyle="1" w:styleId="CharStyle18">
    <w:name w:val="Основной текст + 9 pt"/>
    <w:basedOn w:val="CharStyle10"/>
    <w:rPr>
      <w:lang w:val="ru-RU" w:eastAsia="ru-RU" w:bidi="ru-RU"/>
      <w:sz w:val="18"/>
      <w:szCs w:val="18"/>
      <w:w w:val="100"/>
      <w:spacing w:val="0"/>
      <w:color w:val="000000"/>
      <w:position w:val="0"/>
    </w:rPr>
  </w:style>
  <w:style w:type="character" w:customStyle="1" w:styleId="CharStyle19">
    <w:name w:val="Основной текст + 6,5 pt,Интервал 1 pt"/>
    <w:basedOn w:val="CharStyle10"/>
    <w:rPr>
      <w:lang w:val="ru-RU" w:eastAsia="ru-RU" w:bidi="ru-RU"/>
      <w:sz w:val="13"/>
      <w:szCs w:val="13"/>
      <w:w w:val="100"/>
      <w:spacing w:val="20"/>
      <w:color w:val="000000"/>
      <w:position w:val="0"/>
    </w:rPr>
  </w:style>
  <w:style w:type="character" w:customStyle="1" w:styleId="CharStyle20">
    <w:name w:val="Основной текст + Lucida Sans Unicode,9 pt"/>
    <w:basedOn w:val="CharStyle10"/>
    <w:rPr>
      <w:lang w:val="ru-RU" w:eastAsia="ru-RU" w:bidi="ru-RU"/>
      <w:sz w:val="18"/>
      <w:szCs w:val="18"/>
      <w:rFonts w:ascii="Lucida Sans Unicode" w:eastAsia="Lucida Sans Unicode" w:hAnsi="Lucida Sans Unicode" w:cs="Lucida Sans Unicode"/>
      <w:w w:val="100"/>
      <w:spacing w:val="0"/>
      <w:color w:val="000000"/>
      <w:position w:val="0"/>
    </w:rPr>
  </w:style>
  <w:style w:type="character" w:customStyle="1" w:styleId="CharStyle21">
    <w:name w:val="Основной текст + Tahoma,6,5 pt"/>
    <w:basedOn w:val="CharStyle10"/>
    <w:rPr>
      <w:lang w:val="ru-RU" w:eastAsia="ru-RU" w:bidi="ru-RU"/>
      <w:sz w:val="13"/>
      <w:szCs w:val="13"/>
      <w:rFonts w:ascii="Tahoma" w:eastAsia="Tahoma" w:hAnsi="Tahoma" w:cs="Tahoma"/>
      <w:w w:val="100"/>
      <w:spacing w:val="0"/>
      <w:color w:val="000000"/>
      <w:position w:val="0"/>
    </w:rPr>
  </w:style>
  <w:style w:type="character" w:customStyle="1" w:styleId="CharStyle22">
    <w:name w:val="Заголовок №2 + Интервал 3 pt"/>
    <w:basedOn w:val="CharStyle13"/>
    <w:rPr>
      <w:lang w:val="ru-RU" w:eastAsia="ru-RU" w:bidi="ru-RU"/>
      <w:sz w:val="24"/>
      <w:szCs w:val="24"/>
      <w:w w:val="100"/>
      <w:spacing w:val="60"/>
      <w:color w:val="000000"/>
      <w:position w:val="0"/>
    </w:rPr>
  </w:style>
  <w:style w:type="paragraph" w:customStyle="1" w:styleId="Style3">
    <w:name w:val="Основной текст"/>
    <w:basedOn w:val="Normal"/>
    <w:link w:val="CharStyle10"/>
    <w:pPr>
      <w:widowControl w:val="0"/>
      <w:shd w:val="clear" w:color="auto" w:fill="FFFFFF"/>
      <w:jc w:val="both"/>
      <w:spacing w:before="240"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240" w:line="252"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240" w:after="240" w:line="295" w:lineRule="exact"/>
    </w:pPr>
    <w:rPr>
      <w:b/>
      <w:bCs/>
      <w:i w:val="0"/>
      <w:iCs w:val="0"/>
      <w:u w:val="none"/>
      <w:strike w:val="0"/>
      <w:smallCaps w:val="0"/>
      <w:rFonts w:ascii="Times New Roman" w:eastAsia="Times New Roman" w:hAnsi="Times New Roman" w:cs="Times New Roman"/>
    </w:rPr>
  </w:style>
  <w:style w:type="paragraph" w:customStyle="1" w:styleId="Style12">
    <w:name w:val="Заголовок №2"/>
    <w:basedOn w:val="Normal"/>
    <w:link w:val="CharStyle13"/>
    <w:pPr>
      <w:widowControl w:val="0"/>
      <w:shd w:val="clear" w:color="auto" w:fill="FFFFFF"/>
      <w:outlineLvl w:val="1"/>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both"/>
      <w:outlineLvl w:val="0"/>
      <w:spacing w:line="295" w:lineRule="exact"/>
      <w:ind w:firstLine="700"/>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