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140" w:firstLine="0"/>
      </w:pPr>
      <w:r>
        <w:rPr>
          <w:lang w:val="ru-RU" w:eastAsia="ru-RU" w:bidi="ru-RU"/>
          <w:w w:val="100"/>
          <w:spacing w:val="0"/>
          <w:color w:val="000000"/>
          <w:position w:val="0"/>
        </w:rPr>
        <w:t>ООО «Региональная Дистрибьюторская Компания»</w:t>
      </w:r>
    </w:p>
    <w:p>
      <w:pPr>
        <w:pStyle w:val="Style5"/>
        <w:widowControl w:val="0"/>
        <w:keepNext w:val="0"/>
        <w:keepLines w:val="0"/>
        <w:shd w:val="clear" w:color="auto" w:fill="auto"/>
        <w:bidi w:val="0"/>
        <w:jc w:val="left"/>
        <w:spacing w:before="0" w:after="240" w:line="322" w:lineRule="exact"/>
        <w:ind w:left="5340" w:right="140" w:firstLine="0"/>
      </w:pPr>
      <w:r>
        <w:rPr>
          <w:lang w:val="ru-RU" w:eastAsia="ru-RU" w:bidi="ru-RU"/>
          <w:w w:val="100"/>
          <w:spacing w:val="0"/>
          <w:color w:val="000000"/>
          <w:position w:val="0"/>
        </w:rPr>
        <w:t xml:space="preserve">127282, г. Москва, вн.тер. г. Муниципальный округ Северное Медведково ул. Полярная, д. 41, стр. 1, этаж 3В, офис 44 </w:t>
      </w:r>
      <w:r>
        <w:fldChar w:fldCharType="begin"/>
      </w:r>
      <w:r>
        <w:rPr>
          <w:color w:val="000000"/>
        </w:rPr>
        <w:instrText> HYPERLINK "mailto:star.rdk@rdkgroup.su" </w:instrText>
      </w:r>
      <w:r>
        <w:fldChar w:fldCharType="separate"/>
      </w:r>
      <w:r>
        <w:rPr>
          <w:rStyle w:val="Hyperlink"/>
          <w:lang w:val="en-US" w:eastAsia="en-US" w:bidi="en-US"/>
          <w:w w:val="100"/>
          <w:spacing w:val="0"/>
          <w:position w:val="0"/>
        </w:rPr>
        <w:t>star.rdk@rdkgroup.su</w:t>
      </w:r>
      <w:r>
        <w:fldChar w:fldCharType="end"/>
      </w:r>
    </w:p>
    <w:p>
      <w:pPr>
        <w:pStyle w:val="Style5"/>
        <w:widowControl w:val="0"/>
        <w:keepNext w:val="0"/>
        <w:keepLines w:val="0"/>
        <w:shd w:val="clear" w:color="auto" w:fill="auto"/>
        <w:bidi w:val="0"/>
        <w:jc w:val="left"/>
        <w:spacing w:before="0" w:after="289" w:line="322" w:lineRule="exact"/>
        <w:ind w:left="5340" w:right="140" w:firstLine="0"/>
      </w:pPr>
      <w:r>
        <w:rPr>
          <w:lang w:val="ru-RU" w:eastAsia="ru-RU" w:bidi="ru-RU"/>
          <w:w w:val="100"/>
          <w:spacing w:val="0"/>
          <w:color w:val="000000"/>
          <w:position w:val="0"/>
        </w:rPr>
        <w:t>ГБУЗ «НИИ СП ИМ. Н.В. СКЛИФОСОВСКОГО ДЗМ» пл. Большая Сухаревская, д. 3, г. Москва, 129090</w:t>
      </w:r>
    </w:p>
    <w:p>
      <w:pPr>
        <w:pStyle w:val="Style5"/>
        <w:widowControl w:val="0"/>
        <w:keepNext w:val="0"/>
        <w:keepLines w:val="0"/>
        <w:shd w:val="clear" w:color="auto" w:fill="auto"/>
        <w:bidi w:val="0"/>
        <w:jc w:val="left"/>
        <w:spacing w:before="0" w:after="303"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1684" w:line="322" w:lineRule="exact"/>
        <w:ind w:left="5340" w:right="140" w:firstLine="0"/>
      </w:pPr>
      <w:r>
        <w:rPr>
          <w:lang w:val="ru-RU" w:eastAsia="ru-RU" w:bidi="ru-RU"/>
          <w:w w:val="100"/>
          <w:spacing w:val="0"/>
          <w:color w:val="000000"/>
          <w:position w:val="0"/>
        </w:rPr>
        <w:t>ул. Кожевническая, д. 14, стр. 5, г. Москва, 115114</w:t>
      </w:r>
    </w:p>
    <w:p>
      <w:pPr>
        <w:pStyle w:val="Style7"/>
        <w:tabs>
          <w:tab w:leader="none" w:pos="8598" w:val="left"/>
        </w:tabs>
        <w:widowControl w:val="0"/>
        <w:keepNext w:val="0"/>
        <w:keepLines w:val="0"/>
        <w:shd w:val="clear" w:color="auto" w:fill="auto"/>
        <w:bidi w:val="0"/>
        <w:jc w:val="left"/>
        <w:spacing w:before="0" w:after="0"/>
        <w:ind w:left="40" w:right="660" w:firstLine="4340"/>
      </w:pPr>
      <w:r>
        <w:rPr>
          <w:lang w:val="ru-RU" w:eastAsia="ru-RU" w:bidi="ru-RU"/>
          <w:w w:val="100"/>
          <w:spacing w:val="0"/>
          <w:color w:val="000000"/>
          <w:position w:val="0"/>
        </w:rPr>
        <w:t>РЕШЕНИЕ по делу №077/06/106-19661/2021 о нарушении законодательства о контрактной системе 11.11.2021</w:t>
        <w:tab/>
        <w:t>Москва</w:t>
      </w:r>
    </w:p>
    <w:p>
      <w:pPr>
        <w:pStyle w:val="Style5"/>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ind w:left="4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ind w:left="40" w:right="0" w:firstLine="720"/>
      </w:pPr>
      <w:r>
        <w:rPr>
          <w:lang w:val="ru-RU" w:eastAsia="ru-RU" w:bidi="ru-RU"/>
          <w:w w:val="100"/>
          <w:spacing w:val="0"/>
          <w:color w:val="000000"/>
          <w:position w:val="0"/>
        </w:rPr>
        <w:t>при участии представителей:</w:t>
      </w:r>
    </w:p>
    <w:p>
      <w:pPr>
        <w:pStyle w:val="Style3"/>
        <w:framePr w:w="1685" w:h="394" w:wrap="around" w:vAnchor="text" w:hAnchor="margin" w:x="385" w:y="100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001959624289</w:t>
      </w:r>
    </w:p>
    <w:p>
      <w:pPr>
        <w:pStyle w:val="Style5"/>
        <w:widowControl w:val="0"/>
        <w:keepNext w:val="0"/>
        <w:keepLines w:val="0"/>
        <w:shd w:val="clear" w:color="auto" w:fill="auto"/>
        <w:bidi w:val="0"/>
        <w:jc w:val="both"/>
        <w:spacing w:before="0" w:after="357"/>
        <w:ind w:left="40" w:right="20" w:firstLine="720"/>
        <w:sectPr>
          <w:footnotePr>
            <w:pos w:val="pageBottom"/>
            <w:numFmt w:val="decimal"/>
            <w:numRestart w:val="continuous"/>
          </w:footnotePr>
          <w:type w:val="continuous"/>
          <w:pgSz w:w="11906" w:h="16838"/>
          <w:pgMar w:top="540" w:left="817" w:right="841" w:bottom="852" w:header="0" w:footer="3" w:gutter="0"/>
          <w:rtlGutter w:val="0"/>
          <w:cols w:space="720"/>
          <w:noEndnote/>
          <w:docGrid w:linePitch="360"/>
        </w:sectPr>
      </w:pPr>
      <w:r>
        <w:rPr>
          <w:lang w:val="ru-RU" w:eastAsia="ru-RU" w:bidi="ru-RU"/>
          <w:w w:val="100"/>
          <w:spacing w:val="0"/>
          <w:color w:val="000000"/>
          <w:position w:val="0"/>
        </w:rPr>
        <w:t>ГБУЗ «НИИ СП ИМ. Н.В. СКЛИФОСОВСКОГО ДЗМ»: О.В. Нюкаловой (по доверенности от 05.09.2021№3), Н.Е. Дроздовой (по доверенности от 11.11.2021</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№424), О.Н. Бедина (по доверенности от 25.06.2021 №387),</w:t>
      </w:r>
    </w:p>
    <w:p>
      <w:pPr>
        <w:pStyle w:val="Style5"/>
        <w:widowControl w:val="0"/>
        <w:keepNext w:val="0"/>
        <w:keepLines w:val="0"/>
        <w:shd w:val="clear" w:color="auto" w:fill="auto"/>
        <w:bidi w:val="0"/>
        <w:jc w:val="left"/>
        <w:spacing w:before="0" w:after="0" w:line="322" w:lineRule="exact"/>
        <w:ind w:left="20" w:right="1300" w:firstLine="700"/>
      </w:pPr>
      <w:r>
        <w:rPr>
          <w:lang w:val="ru-RU" w:eastAsia="ru-RU" w:bidi="ru-RU"/>
          <w:w w:val="100"/>
          <w:spacing w:val="0"/>
          <w:color w:val="000000"/>
          <w:position w:val="0"/>
        </w:rPr>
        <w:t>ООО «Региональная Дистрибьюторская Компания»: С.Б. Фролова (по доверенности от 02.11.2021 №12),</w:t>
      </w:r>
    </w:p>
    <w:p>
      <w:pPr>
        <w:pStyle w:val="Style5"/>
        <w:tabs>
          <w:tab w:leader="none" w:pos="5996"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рассмотрев жалобу ООО «Региональная Дистрибьюторская Компания» (далее - Заявитель) на действия ГБУЗ НИИ СП «ИМ. Н.В. СКЛИФОСОВСКОГО ДЗМ» (далее — Заказчик) при проведении электронного аукциона на поставку специализированных моющих средств для прачечной для нужд ГБУЗ «НИИ СП им.</w:t>
      </w:r>
    </w:p>
    <w:p>
      <w:pPr>
        <w:pStyle w:val="Style5"/>
        <w:tabs>
          <w:tab w:leader="none" w:pos="5996" w:val="left"/>
          <w:tab w:leader="none" w:pos="846"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Н.В. Склифосовского ДЗМ» (Закупка №</w:t>
        <w:tab/>
        <w:t>0373200067021000677) (далее -</w:t>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электронного аукциона.</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(исх. №ЕИ/67225/21 от 02.11.2021).</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Согласно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5"/>
        <w:numPr>
          <w:ilvl w:val="0"/>
          <w:numId w:val="1"/>
        </w:numPr>
        <w:tabs>
          <w:tab w:leader="none" w:pos="942" w:val="left"/>
        </w:tabs>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numPr>
          <w:ilvl w:val="0"/>
          <w:numId w:val="1"/>
        </w:numPr>
        <w:tabs>
          <w:tab w:leader="none" w:pos="1014" w:val="left"/>
        </w:tabs>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составе жалобу Заявитель указывает, что Заказчиком установлены избыточные, вводящие участников закупки в заблуждение требования к товарам.</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Так, в п.1 «Специальное чистящее и моющее средство для профессиональной стирки белья» Заказчиком установлено:</w:t>
      </w:r>
    </w:p>
    <w:p>
      <w:pPr>
        <w:pStyle w:val="Style5"/>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«Гидроксид натрия: не менее 25%»;</w:t>
      </w:r>
    </w:p>
    <w:p>
      <w:pPr>
        <w:pStyle w:val="Style5"/>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«Плотность: не менее 1,2г/см3».</w:t>
      </w:r>
    </w:p>
    <w:p>
      <w:pPr>
        <w:pStyle w:val="Style5"/>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В п.2 «Средство для стирки»:</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«Средство должно быть предназначено для дезинфекции и стирки белья (нательного, постельного, спецодежды персонала и др.)»;</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«В качестве действующего вещества должно содержать перкарбонат натрия не менее 55%»;</w:t>
      </w:r>
    </w:p>
    <w:p>
      <w:pPr>
        <w:pStyle w:val="Style5"/>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«Должно обладать противомикробной активностью в отношении грамотрицательных и грамположительных бактерий (включая возбудителей туберкулеза </w:t>
      </w:r>
      <w:r>
        <w:rPr>
          <w:lang w:val="en-US" w:eastAsia="en-US" w:bidi="en-US"/>
          <w:w w:val="100"/>
          <w:spacing w:val="0"/>
          <w:color w:val="000000"/>
          <w:position w:val="0"/>
        </w:rPr>
        <w:t xml:space="preserve">M.terrae), </w:t>
      </w:r>
      <w:r>
        <w:rPr>
          <w:lang w:val="ru-RU" w:eastAsia="ru-RU" w:bidi="ru-RU"/>
          <w:w w:val="100"/>
          <w:spacing w:val="0"/>
          <w:color w:val="000000"/>
          <w:position w:val="0"/>
        </w:rPr>
        <w:t>противовирусной (полиомиелит, гепатиты, ВИЧ-инфекция, аденовирус), противогрибковой - грибов родов Кандида и Трихофитон (дерматофитов), плесневых грибов, спороцидной активностью (в том числе в отношении сибирской язвы), а также на возбудителей анаэробных и внутрибольничных инфекций, активностью в отношении особо опасных инфекций (чума холера, туляремия)».</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«Должна быть разрешена транспортировка и хранение при отрицательных температурах»;</w:t>
      </w:r>
    </w:p>
    <w:p>
      <w:pPr>
        <w:pStyle w:val="Style5"/>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«Также должен быть разрешен для мытья и дезинфекции поверхностей»;</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«Количество рабочего раствора, приготавливаемого из одного килограмма средства, должны быть следующим:</w:t>
      </w:r>
    </w:p>
    <w:p>
      <w:pPr>
        <w:pStyle w:val="Style5"/>
        <w:numPr>
          <w:ilvl w:val="0"/>
          <w:numId w:val="3"/>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для дезинфекции белья не загрязненного выделениями по бактериальному и вирусному режиму не менее 400 л при экспозиции не более 60 мин, при туберкулезе </w:t>
      </w:r>
      <w:r>
        <w:rPr>
          <w:lang w:val="en-US" w:eastAsia="en-US" w:bidi="en-US"/>
          <w:w w:val="100"/>
          <w:spacing w:val="0"/>
          <w:color w:val="000000"/>
          <w:position w:val="0"/>
        </w:rPr>
        <w:t xml:space="preserve">M.terrae </w:t>
      </w:r>
      <w:r>
        <w:rPr>
          <w:lang w:val="ru-RU" w:eastAsia="ru-RU" w:bidi="ru-RU"/>
          <w:w w:val="100"/>
          <w:spacing w:val="0"/>
          <w:color w:val="000000"/>
          <w:position w:val="0"/>
        </w:rPr>
        <w:t>не менее 200 литров при экспозиции не более 60 минут</w:t>
      </w:r>
    </w:p>
    <w:p>
      <w:pPr>
        <w:pStyle w:val="Style5"/>
        <w:numPr>
          <w:ilvl w:val="0"/>
          <w:numId w:val="3"/>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для дезинфекции белья, загрязненного выделениями вирусному режиму не менее 330 л при экспозиции не более 60 мин, при туберкулезе </w:t>
      </w:r>
      <w:r>
        <w:rPr>
          <w:lang w:val="en-US" w:eastAsia="en-US" w:bidi="en-US"/>
          <w:w w:val="100"/>
          <w:spacing w:val="0"/>
          <w:color w:val="000000"/>
          <w:position w:val="0"/>
        </w:rPr>
        <w:t xml:space="preserve">M.terrae </w:t>
      </w:r>
      <w:r>
        <w:rPr>
          <w:lang w:val="ru-RU" w:eastAsia="ru-RU" w:bidi="ru-RU"/>
          <w:w w:val="100"/>
          <w:spacing w:val="0"/>
          <w:color w:val="000000"/>
          <w:position w:val="0"/>
        </w:rPr>
        <w:t>не менее 100 литров при экспозиции не более 120 минут.</w:t>
      </w:r>
    </w:p>
    <w:p>
      <w:pPr>
        <w:pStyle w:val="Style5"/>
        <w:numPr>
          <w:ilvl w:val="0"/>
          <w:numId w:val="3"/>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для стирки, совмещенной с дезинфекцией в одном этапе - не более 6 гр. на 1 л воды.</w:t>
      </w:r>
    </w:p>
    <w:p>
      <w:pPr>
        <w:pStyle w:val="Style5"/>
        <w:numPr>
          <w:ilvl w:val="0"/>
          <w:numId w:val="3"/>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для дезинфекции крови по вирусному режиму, выход рабочего раствора не менее 200 л при экспозиции не более 60 минут.</w:t>
      </w:r>
    </w:p>
    <w:p>
      <w:pPr>
        <w:pStyle w:val="Style5"/>
        <w:numPr>
          <w:ilvl w:val="0"/>
          <w:numId w:val="3"/>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для дезинфекции санитарно-технического оборудования при вирусных инфекциях не менее 200 л при времени экспозиции не более 20 мин;</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-для дезинфекции поверхностей в помещениях при вирусных инфекциях не менее 330 л при времени экспозиции не более 60 мин;</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-для дезинфекции поверхностей в помещениях при туберкулезе </w:t>
      </w:r>
      <w:r>
        <w:rPr>
          <w:lang w:val="en-US" w:eastAsia="en-US" w:bidi="en-US"/>
          <w:w w:val="100"/>
          <w:spacing w:val="0"/>
          <w:color w:val="000000"/>
          <w:position w:val="0"/>
        </w:rPr>
        <w:t xml:space="preserve">M.terrae </w:t>
      </w:r>
      <w:r>
        <w:rPr>
          <w:lang w:val="ru-RU" w:eastAsia="ru-RU" w:bidi="ru-RU"/>
          <w:w w:val="100"/>
          <w:spacing w:val="0"/>
          <w:color w:val="000000"/>
          <w:position w:val="0"/>
        </w:rPr>
        <w:t>не менее 200 л при времени экспозиции не более 60 мин;</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При обработке поверхностей в помещениях способом протирания не должны требоваться средства за</w:t>
      </w:r>
      <w:r>
        <w:rPr>
          <w:rStyle w:val="CharStyle11"/>
        </w:rPr>
        <w:t>щи</w:t>
      </w:r>
      <w:r>
        <w:rPr>
          <w:lang w:val="ru-RU" w:eastAsia="ru-RU" w:bidi="ru-RU"/>
          <w:w w:val="100"/>
          <w:spacing w:val="0"/>
          <w:color w:val="000000"/>
          <w:position w:val="0"/>
        </w:rPr>
        <w:t>ты органов дыхания. Должно быть разрешено применение в присутствии персонала и пациентов».</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По мнению Заявителя, вышеуказанные требования являются избыточными и у участников закупки отсутствует возможность представить конкретное значение по данным показателям.</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На заседании Комиссии Управления представители Заказчика пояснили, что производителями товаров указываются значения гидроксид натрия, плотности и иных химико-физических свойств требуемых к поставке товаров. Предъявленные требования к товара также основаны Заказчиком на положениях санитарных правилах и нормах.</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Также в обосновании своих доводов Заказчиком представлена информация из открытых источников.</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Вместе с тем Комиссия Управления рассмотрев представленные Заказчиком в качестве подтверждения своей позиции сведения отмечает, что представленные сведения о моющих средствах и средствах для стирки не содержат указания на дезинфекции крови по вирусному режиму, выход рабочего раствора не менее 200 л при экспозиции не более 60 минут, а так же указания, что данные средства применяются:</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для дезинфекции санитарно-технического оборудования при вирусных инфекциях не менее 200 л при времени экспозиции не более 20 мин;</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-для дезинфекции поверхностей в помещениях при вирусных инфекциях не менее 330 л при времени экспозиции не более 60 мин;</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-для дезинфекции поверхностей в помещениях при туберкулезе </w:t>
      </w:r>
      <w:r>
        <w:rPr>
          <w:lang w:val="en-US" w:eastAsia="en-US" w:bidi="en-US"/>
          <w:w w:val="100"/>
          <w:spacing w:val="0"/>
          <w:color w:val="000000"/>
          <w:position w:val="0"/>
        </w:rPr>
        <w:t xml:space="preserve">M.terrae </w:t>
      </w:r>
      <w:r>
        <w:rPr>
          <w:lang w:val="ru-RU" w:eastAsia="ru-RU" w:bidi="ru-RU"/>
          <w:w w:val="100"/>
          <w:spacing w:val="0"/>
          <w:color w:val="000000"/>
          <w:position w:val="0"/>
        </w:rPr>
        <w:t>не менее 200 л при времени экспозиции не более 60 мин.</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Также представленные сведения не содержат указание на применение против указанных в техническом задании бактерий, вирусов, грибков и бактерий.</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Кроме того в представленных сведениях отсутствует указание на разрешение транспортировки и хранение при отрицательных температурах.</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Каких-либо иных документов и сведений подтверждающих, что производителями товаров отображается вся совокупность информации, установленной Заказчиком в своих требованиях на заседании Комиссии Управления не представлено.</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Комиссия Управления отмечает, что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п.1,п.2 ч.1,2 ст.33 Закона о контрактной системе, что указывает на наличие признаков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7"/>
        <w:widowControl w:val="0"/>
        <w:keepNext w:val="0"/>
        <w:keepLines w:val="0"/>
        <w:shd w:val="clear" w:color="auto" w:fill="auto"/>
        <w:bidi w:val="0"/>
        <w:jc w:val="center"/>
        <w:spacing w:before="0" w:after="303" w:line="260" w:lineRule="exact"/>
        <w:ind w:left="20" w:right="0" w:firstLine="0"/>
      </w:pPr>
      <w:r>
        <w:rPr>
          <w:lang w:val="ru-RU" w:eastAsia="ru-RU" w:bidi="ru-RU"/>
          <w:w w:val="100"/>
          <w:spacing w:val="0"/>
          <w:color w:val="000000"/>
          <w:position w:val="0"/>
        </w:rPr>
        <w:t>Р Е Ш И Л А:</w:t>
      </w:r>
    </w:p>
    <w:p>
      <w:pPr>
        <w:pStyle w:val="Style5"/>
        <w:numPr>
          <w:ilvl w:val="0"/>
          <w:numId w:val="5"/>
        </w:numPr>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Признать жалобу ООО «Региональная Дистрибьюторская Компания» на действия ГБУЗ «НИИ СП ИМ. Н.В. СКЛИФОСОВСКОГО ДЗМ» обоснованной.</w:t>
      </w:r>
    </w:p>
    <w:p>
      <w:pPr>
        <w:pStyle w:val="Style5"/>
        <w:numPr>
          <w:ilvl w:val="0"/>
          <w:numId w:val="5"/>
        </w:numPr>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 xml:space="preserve"> Признать в действиях Заказчика нарушения п.1,п.2 ч.1,2 ст.33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0" w:right="20" w:firstLine="74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5"/>
        </w:numPr>
        <w:widowControl w:val="0"/>
        <w:keepNext w:val="0"/>
        <w:keepLines w:val="0"/>
        <w:shd w:val="clear" w:color="auto" w:fill="auto"/>
        <w:bidi w:val="0"/>
        <w:jc w:val="both"/>
        <w:spacing w:before="0" w:after="296"/>
        <w:ind w:left="0" w:right="20" w:firstLine="74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347" w:line="322" w:lineRule="exact"/>
        <w:ind w:left="0" w:right="20" w:firstLine="7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5"/>
        <w:tabs>
          <w:tab w:leader="none" w:pos="8520"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С.И. Казарин</w:t>
      </w:r>
    </w:p>
    <w:p>
      <w:pPr>
        <w:pStyle w:val="Style5"/>
        <w:tabs>
          <w:tab w:leader="none" w:pos="8520" w:val="lef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А.З. Касимова</w:t>
      </w:r>
    </w:p>
    <w:p>
      <w:pPr>
        <w:pStyle w:val="Style5"/>
        <w:widowControl w:val="0"/>
        <w:keepNext w:val="0"/>
        <w:keepLines w:val="0"/>
        <w:shd w:val="clear" w:color="auto" w:fill="auto"/>
        <w:bidi w:val="0"/>
        <w:jc w:val="right"/>
        <w:spacing w:before="0" w:after="5711" w:line="638" w:lineRule="exact"/>
        <w:ind w:left="0" w:right="20" w:firstLine="0"/>
      </w:pPr>
      <w:r>
        <w:rPr>
          <w:lang w:val="ru-RU" w:eastAsia="ru-RU" w:bidi="ru-RU"/>
          <w:w w:val="100"/>
          <w:spacing w:val="0"/>
          <w:color w:val="000000"/>
          <w:position w:val="0"/>
        </w:rPr>
        <w:t>А.А. Кутейников</w:t>
      </w:r>
    </w:p>
    <w:p>
      <w:pPr>
        <w:pStyle w:val="Style12"/>
        <w:widowControl w:val="0"/>
        <w:keepNext w:val="0"/>
        <w:keepLines w:val="0"/>
        <w:shd w:val="clear" w:color="auto" w:fill="auto"/>
        <w:bidi w:val="0"/>
        <w:jc w:val="left"/>
        <w:spacing w:before="0" w:after="0"/>
        <w:ind w:left="0" w:right="8220" w:firstLine="0"/>
      </w:pPr>
      <w:r>
        <w:rPr>
          <w:lang w:val="ru-RU" w:eastAsia="ru-RU" w:bidi="ru-RU"/>
          <w:w w:val="100"/>
          <w:spacing w:val="0"/>
          <w:color w:val="000000"/>
          <w:position w:val="0"/>
        </w:rPr>
        <w:t>Исп.Кутейников А.А. тел.8(495)784-75-05</w:t>
      </w:r>
    </w:p>
    <w:sectPr>
      <w:pgSz w:w="11906" w:h="16838"/>
      <w:pgMar w:top="1454" w:left="848" w:right="843" w:bottom="15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680"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540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