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 xml:space="preserve">ГБПОУ ДЗМ «МК № </w:t>
      </w:r>
      <w:r>
        <w:rPr>
          <w:rStyle w:val="CharStyle7"/>
        </w:rPr>
        <w:t>6»</w:t>
      </w:r>
    </w:p>
    <w:p>
      <w:pPr>
        <w:pStyle w:val="Style5"/>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ул. Таймырская, д. 4,г. Москва, 129336</w:t>
      </w:r>
    </w:p>
    <w:p>
      <w:pPr>
        <w:pStyle w:val="Style5"/>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ООО «Техно-Сити»</w:t>
      </w:r>
    </w:p>
    <w:p>
      <w:pPr>
        <w:pStyle w:val="Style5"/>
        <w:widowControl w:val="0"/>
        <w:keepNext w:val="0"/>
        <w:keepLines w:val="0"/>
        <w:shd w:val="clear" w:color="auto" w:fill="auto"/>
        <w:bidi w:val="0"/>
        <w:jc w:val="both"/>
        <w:spacing w:before="0" w:after="346" w:line="317" w:lineRule="exact"/>
        <w:ind w:left="1160" w:right="20" w:firstLine="0"/>
      </w:pPr>
      <w:r>
        <w:rPr>
          <w:lang w:val="ru-RU" w:eastAsia="ru-RU" w:bidi="ru-RU"/>
          <w:w w:val="100"/>
          <w:spacing w:val="0"/>
          <w:color w:val="000000"/>
          <w:position w:val="0"/>
        </w:rPr>
        <w:t>ул. Матюшенко, д. 1, г. Волжск, Респ. Марий Эл, 425000</w:t>
      </w:r>
    </w:p>
    <w:p>
      <w:pPr>
        <w:pStyle w:val="Style5"/>
        <w:widowControl w:val="0"/>
        <w:keepNext w:val="0"/>
        <w:keepLines w:val="0"/>
        <w:shd w:val="clear" w:color="auto" w:fill="auto"/>
        <w:bidi w:val="0"/>
        <w:spacing w:before="0" w:after="299" w:line="260" w:lineRule="exact"/>
        <w:ind w:left="0" w:right="20" w:firstLine="0"/>
      </w:pPr>
      <w:r>
        <w:rPr>
          <w:lang w:val="ru-RU" w:eastAsia="ru-RU" w:bidi="ru-RU"/>
          <w:w w:val="100"/>
          <w:spacing w:val="0"/>
          <w:color w:val="000000"/>
          <w:position w:val="0"/>
        </w:rPr>
        <w:t>ООО «Учмедпособие»</w:t>
      </w:r>
    </w:p>
    <w:p>
      <w:pPr>
        <w:pStyle w:val="Style5"/>
        <w:widowControl w:val="0"/>
        <w:keepNext w:val="0"/>
        <w:keepLines w:val="0"/>
        <w:shd w:val="clear" w:color="auto" w:fill="auto"/>
        <w:bidi w:val="0"/>
        <w:jc w:val="both"/>
        <w:spacing w:before="0" w:after="353" w:line="326" w:lineRule="exact"/>
        <w:ind w:left="1160" w:right="20" w:firstLine="0"/>
      </w:pPr>
      <w:r>
        <w:rPr>
          <w:lang w:val="ru-RU" w:eastAsia="ru-RU" w:bidi="ru-RU"/>
          <w:w w:val="100"/>
          <w:spacing w:val="0"/>
          <w:color w:val="000000"/>
          <w:position w:val="0"/>
        </w:rPr>
        <w:t>наб. Бережковская, д. 20, стр. 77, эт. 1, пом. I, комн. 74, г. Москва, 121059</w:t>
      </w:r>
    </w:p>
    <w:p>
      <w:pPr>
        <w:pStyle w:val="Style5"/>
        <w:widowControl w:val="0"/>
        <w:keepNext w:val="0"/>
        <w:keepLines w:val="0"/>
        <w:shd w:val="clear" w:color="auto" w:fill="auto"/>
        <w:bidi w:val="0"/>
        <w:jc w:val="left"/>
        <w:spacing w:before="0" w:after="299" w:line="260" w:lineRule="exact"/>
        <w:ind w:left="53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544" w:line="326" w:lineRule="exact"/>
        <w:ind w:left="5340" w:right="1100" w:firstLine="0"/>
      </w:pPr>
      <w:r>
        <w:rPr>
          <w:lang w:val="ru-RU" w:eastAsia="ru-RU" w:bidi="ru-RU"/>
          <w:w w:val="100"/>
          <w:spacing w:val="0"/>
          <w:color w:val="000000"/>
          <w:position w:val="0"/>
        </w:rPr>
        <w:t>ул. Кожевническая, д. 14, стр. 5, г. Москва</w:t>
      </w:r>
    </w:p>
    <w:p>
      <w:pPr>
        <w:pStyle w:val="Style8"/>
        <w:tabs>
          <w:tab w:leader="none" w:pos="8598" w:val="left"/>
        </w:tabs>
        <w:widowControl w:val="0"/>
        <w:keepNext w:val="0"/>
        <w:keepLines w:val="0"/>
        <w:shd w:val="clear" w:color="auto" w:fill="auto"/>
        <w:bidi w:val="0"/>
        <w:jc w:val="left"/>
        <w:spacing w:before="0" w:after="0"/>
        <w:ind w:left="40" w:right="660"/>
      </w:pPr>
      <w:r>
        <w:rPr>
          <w:lang w:val="ru-RU" w:eastAsia="ru-RU" w:bidi="ru-RU"/>
          <w:w w:val="100"/>
          <w:spacing w:val="0"/>
          <w:color w:val="000000"/>
          <w:position w:val="0"/>
        </w:rPr>
        <w:t>РЕШЕНИЕ по делу № 077/06/106-19649/2021 о нарушении законодательства о контрактной системе 11.11.2021</w:t>
        <w:tab/>
        <w:t>Москва</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Е.А. Мироновой,</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tabs>
          <w:tab w:leader="none" w:pos="635"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Н.С. Лушниковой,</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5"/>
        <w:tabs>
          <w:tab w:leader="none" w:pos="623" w:val="left"/>
        </w:tabs>
        <w:widowControl w:val="0"/>
        <w:keepNext w:val="0"/>
        <w:keepLines w:val="0"/>
        <w:shd w:val="clear" w:color="auto" w:fill="auto"/>
        <w:bidi w:val="0"/>
        <w:jc w:val="both"/>
        <w:spacing w:before="0" w:after="0" w:line="322" w:lineRule="exact"/>
        <w:ind w:left="40" w:right="20" w:firstLine="5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left"/>
        <w:spacing w:before="0" w:after="0" w:line="322" w:lineRule="exact"/>
        <w:ind w:left="40" w:right="20" w:firstLine="680"/>
      </w:pPr>
      <w:r>
        <w:rPr>
          <w:lang w:val="ru-RU" w:eastAsia="ru-RU" w:bidi="ru-RU"/>
          <w:w w:val="100"/>
          <w:spacing w:val="0"/>
          <w:color w:val="000000"/>
          <w:position w:val="0"/>
        </w:rPr>
        <w:t>при участии представителей ООО «Техно-Сити», ГБПОУ ДЗМ «МК № 6», в отсутствие представителей ООО «Учмедпособие», о времени и порядке заседания Комиссии уведомлены письмом Московского УФАС России № ЕИ/67161/21 от 02.11.2021,</w:t>
      </w:r>
    </w:p>
    <w:p>
      <w:pPr>
        <w:pStyle w:val="Style3"/>
        <w:framePr w:w="1685" w:h="394" w:wrap="around" w:vAnchor="text" w:hAnchor="margin" w:x="385" w:y="471"/>
        <w:widowControl w:val="0"/>
        <w:keepNext w:val="0"/>
        <w:keepLines w:val="0"/>
        <w:shd w:val="clear" w:color="auto" w:fill="auto"/>
        <w:bidi w:val="0"/>
        <w:jc w:val="left"/>
        <w:spacing w:before="0" w:after="0" w:line="240" w:lineRule="auto"/>
        <w:ind w:left="0" w:right="0" w:firstLine="0"/>
      </w:pPr>
      <w:r>
        <w:rPr>
          <w:w w:val="100"/>
          <w:spacing w:val="0"/>
          <w:color w:val="000000"/>
          <w:position w:val="0"/>
        </w:rPr>
        <w:t>000018993905</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рассмотрев жалобу ООО «Техно-Сити» (далее — Заявитель) на действия</w:t>
      </w:r>
      <w:r>
        <w:br w:type="page"/>
      </w:r>
    </w:p>
    <w:p>
      <w:pPr>
        <w:pStyle w:val="Style5"/>
        <w:widowControl w:val="0"/>
        <w:keepNext w:val="0"/>
        <w:keepLines w:val="0"/>
        <w:shd w:val="clear" w:color="auto" w:fill="auto"/>
        <w:bidi w:val="0"/>
        <w:jc w:val="both"/>
        <w:spacing w:before="0" w:after="349" w:line="322" w:lineRule="exact"/>
        <w:ind w:left="0" w:right="20" w:firstLine="0"/>
      </w:pPr>
      <w:r>
        <w:rPr>
          <w:lang w:val="ru-RU" w:eastAsia="ru-RU" w:bidi="ru-RU"/>
          <w:w w:val="100"/>
          <w:spacing w:val="0"/>
          <w:color w:val="000000"/>
          <w:position w:val="0"/>
        </w:rPr>
        <w:t>ГБПОУ ДЗМ «МК № 6» (далее — Заказчик) при проведении электронного аукциона на право заключения государственного контракта на поставку фантомов, манекенов для отработки навыков СЛР и отработки навыков внутрикожных инъекций для нужд ГБПОУ ДЗМ «МК № 6» (Закупка № 0373200032321000010)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jc w:val="left"/>
        <w:spacing w:before="0" w:after="308"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Заявитель обжалует действия аукционной комиссии Заказчика, совершенные при рассмотрении вторых частей заявок на участие в электронном аукционе.</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 ЕИ/67161/21 от 02.11.2021, Комиссия Управления установила следующее.</w:t>
      </w:r>
    </w:p>
    <w:p>
      <w:pPr>
        <w:pStyle w:val="Style5"/>
        <w:numPr>
          <w:ilvl w:val="0"/>
          <w:numId w:val="1"/>
        </w:numPr>
        <w:tabs>
          <w:tab w:leader="none" w:pos="2237" w:val="left"/>
        </w:tabs>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доводам жалобы Заявителя аукционная комиссия Заказчика неправомерно признала заявку участника аукциона ООО «Учмедпособие» соответствующей требованиям документации, поскольку, по мнению Заявителя участник закупки ООО «Учмедпособие» не представил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на требуемый товар.</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протоколу подведения итогов электронного аукциона от 25.10.2021 №0373200032321000010-3 заявка ООО «Учмедпособие» признана соответствующей требованиям аукционной документации.</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п.2 ч.1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 3 - 6 ст. 66 Закона о контрактной системе и инструкция по ее заполнению.</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w:t>
      </w:r>
    </w:p>
    <w:p>
      <w:pPr>
        <w:pStyle w:val="Style5"/>
        <w:tabs>
          <w:tab w:leader="none" w:pos="3773"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товаров, происходящих из иностранных государств, работ, услуг, соответственно выполняемых, оказываемых</w:t>
        <w:tab/>
        <w:t>иностранными лицами, и ограничения допуска</w:t>
      </w:r>
    </w:p>
    <w:p>
      <w:pPr>
        <w:pStyle w:val="Style5"/>
        <w:tabs>
          <w:tab w:leader="none" w:pos="3773"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w:t>
        <w:tab/>
        <w:t>актами Правительства Российской Федерации</w:t>
      </w:r>
    </w:p>
    <w:p>
      <w:pPr>
        <w:pStyle w:val="Style5"/>
        <w:tabs>
          <w:tab w:leader="none" w:pos="3773"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w:t>
        <w:tab/>
        <w:t>товаров осуществляется в соответствии с</w:t>
      </w:r>
    </w:p>
    <w:p>
      <w:pPr>
        <w:pStyle w:val="Style5"/>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законодательством Российской Федерации.</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основании п.10 ст.42 Закона о контрактной системе в извещении об осуществлении закупки должна содержаться, если иное не предусмотрено Законом о контрактной системе,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Комиссией Управления установлено, что Заказчиком в п.14.9 Информационной карты устанавливаются ограничения допуска для целей осуществления закупок для обеспечения государственных и муниципальных нужд в соответствии с Постановлением Правительства РФ от 30 апреля 2020 г.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w:t>
      </w:r>
      <w:r>
        <w:rPr>
          <w:rStyle w:val="CharStyle12"/>
        </w:rPr>
        <w:t>ици</w:t>
      </w:r>
      <w:r>
        <w:rPr>
          <w:lang w:val="ru-RU" w:eastAsia="ru-RU" w:bidi="ru-RU"/>
          <w:w w:val="100"/>
          <w:spacing w:val="0"/>
          <w:color w:val="000000"/>
          <w:position w:val="0"/>
        </w:rPr>
        <w:t>пальных нужд» (далее — постановление №617).</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Согласно п.6 ч.5 ст.66 Закона о контрактной системе вторая часть заявки на участие в электронном аукционе должна содержать, в том числе документы, предусмотренные нормативными правовыми актами, принятыми в соответствии со статьей 14 Закона о контрактной системе, в случае закупки товаров, работ, услуг, на которые распространяется действие указанных нормативных правовых актов, или копии таких документов. </w:t>
      </w:r>
      <w:r>
        <w:rPr>
          <w:rStyle w:val="CharStyle13"/>
        </w:rPr>
        <w:t>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Pr>
          <w:lang w:val="ru-RU" w:eastAsia="ru-RU" w:bidi="ru-RU"/>
          <w:w w:val="100"/>
          <w:spacing w:val="0"/>
          <w:color w:val="000000"/>
          <w:position w:val="0"/>
        </w:rPr>
        <w:t>.</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Комиссией Управления установлено, что пп.6 п.17 Информационной карты аукционной документации определено, что вторая часть заявки участника закупки должна содержать: «Документы, предусмотренные нормативными правовыми актами, принятыми в соответствии со ст. 14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В соответствии с постановлением Правительства Российской Федерации от 30 апреля 2020 г. № 617 подтверждением страны происхождения отдельных видов промышленных товаров является представление участником закупки в составе заявки информации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П.2 Постановления №617 установлено, что для целей осуществления закупок отдельных видов промышленных товаров, включенных в перечень, заказчик отклоняет все заявки (окончательные предложения),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подано не менее 2 заявок, удовлетворяющих требованиям извещения об осуществлении закупки и (или) документации о закупке, которые одновременно:</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 (окончательных предложений).</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П.7 Постановления №617 установлено, что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а) наличие сведений об отдельных видах промышленных товаров в реестре промышленной продукции, произведенной на территории Российской Федерации (далее - реестр российской промышленной продукции),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 </w:t>
      </w:r>
      <w:r>
        <w:rPr>
          <w:lang w:val="en-US" w:eastAsia="en-US" w:bidi="en-US"/>
          <w:w w:val="100"/>
          <w:spacing w:val="0"/>
          <w:color w:val="000000"/>
          <w:position w:val="0"/>
        </w:rPr>
        <w:t xml:space="preserve">N </w:t>
      </w:r>
      <w:r>
        <w:rPr>
          <w:lang w:val="ru-RU" w:eastAsia="ru-RU" w:bidi="ru-RU"/>
          <w:w w:val="100"/>
          <w:spacing w:val="0"/>
          <w:color w:val="000000"/>
          <w:position w:val="0"/>
        </w:rPr>
        <w:t>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б) наличие сертификата о происхождении отдельного вида промышленного товара, выдаваемого уполномоченным органом (организацией) государства - члена</w:t>
      </w:r>
    </w:p>
    <w:p>
      <w:pPr>
        <w:pStyle w:val="Style5"/>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Евразийского экономического союза (за исключением Российской Федерации)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Комиссией Управления установлено, что в составе вторых частей заявок на участие в аукционе участников закупки ООО «Учмедпособие», ООО «Техно-Сити» не представлено сведений о нахождении предлагаемых к поставке товаров в реестре российской промышленной продукции.</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соответствии с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заседании Комиссии управления представитель Заявителя пояснил, что аукционной комиссии Заказчика надлежало признать заявку ООО «Учмедпособие» не соответствующей требованиям аукционной документации, ввиду того, что в реестре российской промышленной продукции не содержится сведений о продукции производства ООО «Учмедпособие», ввиду чего, по мнению представителя Заявителя, ООО «Учмедпособие» не может представить выписки из реестра российской промышленной продукции на представленный в рамках аукциона товар.</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Вместе с тем Комиссия Управления отмечает, что участники закупочных процедур могут предлагать к поставке товары иных организаций, осуществивших процедуру регистрации своих товаров в реестре российской промышленной продукции.</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Кроме того, Комиссия Управления также отмечает, что согласно протоколу проведения электронного аукциона от 20.10.2021 №0373200032321000010-2 в аукционе приняло участие 2 участника, ввиду чего положения Постановления №617 не применяются, так как не соблюдаются условия, предусмотренные п.2 Постановления №617.</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Таким образом, Комиссия Управления приходит к выводу что, действия аукционной комиссии Заказчика, в части признания заявки ООО «Учмедпособие» соответствующей требованиям аукционной документации, не нарушают положения Закона о контрактной системе.</w:t>
      </w:r>
    </w:p>
    <w:p>
      <w:pPr>
        <w:pStyle w:val="Style5"/>
        <w:numPr>
          <w:ilvl w:val="0"/>
          <w:numId w:val="1"/>
        </w:numPr>
        <w:tabs>
          <w:tab w:leader="none" w:pos="1004" w:val="left"/>
        </w:tabs>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Вместе с этим Заявитель также обжалует действия аукционной комиссии Заказчика, выразившиеся в признании заявки ООО «Техно-Сити» несоответствующей требованиям аукционной документации.</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протоколу подведения итогов электронного аукциона от 25.10.2021 №0373200032321000010-3 заявка ООО «Техно-Сити» признана не соответствующей требованиям аукционной документации на следующем основании: «В соответствии с п. 18.2 Аукционной документации Заказчиком установлено требование о представлении участником закупки в составе заявки информации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(условий) на территории Российской Федерации, Участником данное требование не предоставлено».</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заседании комиссии Управления представитель Заказчика пояснил, что заявка Заявителя отклонена ввиду представления недостоверных сведений о товаре, так как участником закупки в первой части заявки продекларированы сведения о поставке товара исключительно российского производства, однако в составе второй части заявки не представлены сведения подтверждающие происхождение товаров на территории Российской Федерации, ввиду чего заявка Заявителя была отклонена.</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Комиссия Управления отмечает, что согласно п.6 ч.5 ст.66 Закона о контрактной системе при отсутствии в заявке на участие в электронном аукционе документов, подтверждающих страну происхождения товара надлежащим образом, заявка участника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Кроме того под недостоверными сведениями следует понимать сведения, не соответствующие действительности. В свою очередь, исходя из правовой позиции Верховного Суда Российской Федерации, изложенной в постановлении от 24.02.2005 № 3 «О судебной практике по делам о защите чести и достоинства граждан, а также деловой репутации граждан и юридических лиц», под не соответствующими действительности сведениями понимаются утверждения о фактах или событиях, которые не имели места в реальности во время, к которому относятся оспариваемые сведения (п. 7).</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Кроме того, предоставленное заказчику право отклонить поданную заявку в случае обнаружения в ней недостоверных сведений свидетельствует о том, что располагать такой информацией заказчик должен непосредственно на момент принятия соответствующего решения, причем располагать именно доказательствами такой недостоверности, но не руководствоваться предположениями.</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Вместе с этим Комиссия Управления отмечает, что фактически произведенный на территории Российской Федерации товар по ряду причин может быть не зарегистрирован в реестре российской промышленной продукции, ввиду чего, при установлении ограничений, например, в соответствии с положениями Постановления №617, будет </w:t>
      </w:r>
      <w:r>
        <w:rPr>
          <w:rStyle w:val="CharStyle13"/>
        </w:rPr>
        <w:t>приравнен</w:t>
      </w:r>
      <w:r>
        <w:rPr>
          <w:lang w:val="ru-RU" w:eastAsia="ru-RU" w:bidi="ru-RU"/>
          <w:w w:val="100"/>
          <w:spacing w:val="0"/>
          <w:color w:val="000000"/>
          <w:position w:val="0"/>
        </w:rPr>
        <w:t xml:space="preserve"> к товару иностранного производства, в целях реализации данного постановления.</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Таким образом, как следует из материалов дела, каких-либо оснований сомневаться в достоверности представленных в них сведений в контексте ч. 5 ст. 10 Гражданского кодекса Российской Федерации (ГК РФ) (в силу которой добросовестность участников гражданских правоотношений и разумность их действий предполагаются) у Заказчика не имелось, неопровержимыми доказательствами недостоверности таких сведений последний не располагал. Доказательств обратного представителем Заказчика не представлено.</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При этом в целях соблюдения баланса частных и публичных интересов (на необходимость соблюдения которого указал Конституционный Суд Российской Федерации в постановлении от 29.03.2011 № 2-П) и принципа стабильности публичных правоотношений, но также и принципов добросовестной реализации прав и законных интересов (ч. 3 ст. 1 ГК РФ), недопустимости извлечения преимуществ из своего незаконного или недобросовестного поведения (ч. 4 ст. 1 ГК РФ), недопустимости злоупотребления правом (ч. 1 ст. 10 ГК РФ) для принятия решения об отказе участнику закупки в допуске к ней заказчику необходимо располагать письменным документальным подтверждением наличия в составе заявки такого участника недостоверной информации.</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то же время, как следует из материалов дела в настоящем случае, такого подтверждения в материалы дела представлено не было, а потому и правовых оснований к отклонению заявки ООО «Техно-Сити» у аукционной комиссии Заказчика не имелось, вопреки утверждению представителей Заказчика об обратном.</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соответствии с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5"/>
        <w:numPr>
          <w:ilvl w:val="0"/>
          <w:numId w:val="3"/>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непредставления документов и информации, которые предусмотрены ч.11 ст.24.1, ч.3 или 3.1, 5, 8.2 ст.66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numPr>
          <w:ilvl w:val="0"/>
          <w:numId w:val="3"/>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ч.1, ч.1.1, 2 и 2.1 (при наличии таких требований) ст.31 Закона о контрактной системе;</w:t>
      </w:r>
    </w:p>
    <w:p>
      <w:pPr>
        <w:pStyle w:val="Style5"/>
        <w:numPr>
          <w:ilvl w:val="0"/>
          <w:numId w:val="3"/>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ст.14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силу ч.7 ст.69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ч.6 ст.69 Закона о контрактной системе,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п.5 ч.5 ст.66 Закона о контрактной системе, а также п.6 ч.5 ст.66 Закона о контрактной системе, за исключением случая закупки товаров, работ, услуг, в отношении которых установлен запрет, предусмотренный ст.14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Таким образом, решение аукционной комиссии Заказчика в части признания второй части заявки Заявителя не соответствующей требованиям аукционной документации, Закона о контрактной системе по основаниям, указанным в протоколе подведения итогов, является неправомерным, а также нарушает</w:t>
      </w:r>
    </w:p>
    <w:p>
      <w:pPr>
        <w:pStyle w:val="Style5"/>
        <w:tabs>
          <w:tab w:leader="none" w:pos="816"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положения ч. 7 ст. 69 Закона о контрактной системе и содержит признаки состава административного правонарушения, ответственность за которое предусмотрена ч.2</w:t>
        <w:tab/>
        <w:t>ст.7.30 Кодекса Российской Федерации об административных</w:t>
      </w:r>
    </w:p>
    <w:p>
      <w:pPr>
        <w:pStyle w:val="Style5"/>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правонарушениях.</w:t>
      </w:r>
    </w:p>
    <w:p>
      <w:pPr>
        <w:pStyle w:val="Style5"/>
        <w:numPr>
          <w:ilvl w:val="0"/>
          <w:numId w:val="1"/>
        </w:numPr>
        <w:tabs>
          <w:tab w:leader="none" w:pos="1004" w:val="left"/>
        </w:tabs>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Также Заявитель обжалует действия Заказчика, выразившиеся в нарушении порядка формирования протокола рассмотрения заявок на участие в электронном аукционе, в частности Заявитель указывает, что в протоколах, сформированных при проведении процедуры, не отражена информация, предусмотренная п.4 ч.6 ст.67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Комиссией Управления установлено, что согласно п.13.4 Информационной карты аукционной документации Заказчиком применяются условия допуска товаров, происходящих из иностранного государства или группы иностранных государств, в соответствии с приказом Министерства финансов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основании п.4 ч.6 ст.67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ст.14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Также, согласно ч.9 ст.67 Закона о контрактной системе в течение одного часа с момента поступления оператору электронной площадки указанного в ч.6 ст.67 Закона о контрактной системе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сведения о наличии среди предложений участников закупки, признанных участниками электронного аукциона, предложений о поставке товаров российского происхождения в случае, если документацией об электронном аукционе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ст.14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Комиссией Управления установлено что протокол рассмотрения заявок на участие в электронном аукционе от 18.10.2021 №0373200032321000010-1 содержит следующее указание: «Среди предложений участников закупки, признанных участниками закупки, имеются предложения о поставке товаров, происходящих из иностранного государства или группы иностранных государств», что, по мнению комиссии Управления, является надлежащим исполнением требований п.4 ч.6 ст.67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На основании имеющихся документов и сведений Комиссия Управления приходит к выводу, что указанный довод жалобы Заявителя не нашел своего подтверждения и является необоснованным.</w:t>
      </w:r>
    </w:p>
    <w:p>
      <w:pPr>
        <w:pStyle w:val="Style5"/>
        <w:widowControl w:val="0"/>
        <w:keepNext w:val="0"/>
        <w:keepLines w:val="0"/>
        <w:shd w:val="clear" w:color="auto" w:fill="auto"/>
        <w:bidi w:val="0"/>
        <w:jc w:val="both"/>
        <w:spacing w:before="0" w:after="349" w:line="322" w:lineRule="exact"/>
        <w:ind w:left="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0"/>
        <w:widowControl w:val="0"/>
        <w:keepNext/>
        <w:keepLines/>
        <w:shd w:val="clear" w:color="auto" w:fill="auto"/>
        <w:bidi w:val="0"/>
        <w:jc w:val="center"/>
        <w:spacing w:before="0" w:after="303"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5"/>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Признать жалобу ООО «Техно-Сити» на действия аукционной комиссии ГБПОУ ДЗМ «МК № 6» обоснованной в части признания заявки Заявителя несоответствующей требованиям аукционной документации.</w:t>
      </w:r>
    </w:p>
    <w:p>
      <w:pPr>
        <w:pStyle w:val="Style5"/>
        <w:numPr>
          <w:ilvl w:val="0"/>
          <w:numId w:val="5"/>
        </w:numPr>
        <w:widowControl w:val="0"/>
        <w:keepNext w:val="0"/>
        <w:keepLines w:val="0"/>
        <w:shd w:val="clear" w:color="auto" w:fill="auto"/>
        <w:bidi w:val="0"/>
        <w:jc w:val="both"/>
        <w:spacing w:before="0" w:after="0" w:line="326" w:lineRule="exact"/>
        <w:ind w:left="0" w:right="20" w:firstLine="700"/>
      </w:pPr>
      <w:r>
        <w:rPr>
          <w:lang w:val="ru-RU" w:eastAsia="ru-RU" w:bidi="ru-RU"/>
          <w:w w:val="100"/>
          <w:spacing w:val="0"/>
          <w:color w:val="000000"/>
          <w:position w:val="0"/>
        </w:rPr>
        <w:t xml:space="preserve"> Признать в действиях аукционной комиссии Заказчика нарушение ч.7 ст.69 Закона о контрактной системе.</w:t>
      </w:r>
    </w:p>
    <w:p>
      <w:pPr>
        <w:pStyle w:val="Style5"/>
        <w:numPr>
          <w:ilvl w:val="0"/>
          <w:numId w:val="5"/>
        </w:numPr>
        <w:widowControl w:val="0"/>
        <w:keepNext w:val="0"/>
        <w:keepLines w:val="0"/>
        <w:shd w:val="clear" w:color="auto" w:fill="auto"/>
        <w:bidi w:val="0"/>
        <w:jc w:val="both"/>
        <w:spacing w:before="0" w:after="0" w:line="326" w:lineRule="exact"/>
        <w:ind w:left="0" w:right="20" w:firstLine="70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об осуществлении закупок.</w:t>
      </w:r>
    </w:p>
    <w:p>
      <w:pPr>
        <w:pStyle w:val="Style5"/>
        <w:numPr>
          <w:ilvl w:val="0"/>
          <w:numId w:val="5"/>
        </w:numPr>
        <w:widowControl w:val="0"/>
        <w:keepNext w:val="0"/>
        <w:keepLines w:val="0"/>
        <w:shd w:val="clear" w:color="auto" w:fill="auto"/>
        <w:bidi w:val="0"/>
        <w:jc w:val="both"/>
        <w:spacing w:before="0" w:after="296" w:line="317" w:lineRule="exact"/>
        <w:ind w:left="0" w:right="20" w:firstLine="700"/>
      </w:pPr>
      <w:r>
        <w:rPr>
          <w:lang w:val="ru-RU" w:eastAsia="ru-RU" w:bidi="ru-RU"/>
          <w:w w:val="100"/>
          <w:spacing w:val="0"/>
          <w:color w:val="000000"/>
          <w:position w:val="0"/>
        </w:rPr>
        <w:t xml:space="preserve"> Передать соответствующему должностному лицу Московского </w:t>
      </w:r>
      <w:r>
        <w:rPr>
          <w:rStyle w:val="CharStyle14"/>
        </w:rPr>
        <w:t>УФАС</w:t>
      </w:r>
      <w:r>
        <w:rPr>
          <w:lang w:val="ru-RU" w:eastAsia="ru-RU" w:bidi="ru-RU"/>
          <w:w w:val="100"/>
          <w:spacing w:val="0"/>
          <w:color w:val="000000"/>
          <w:position w:val="0"/>
        </w:rPr>
        <w:t xml:space="preserve"> России материалы дела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47" w:line="322"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710" w:val="right"/>
          <w:tab w:leader="none" w:pos="10174"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Е.А.</w:t>
        <w:tab/>
        <w:t>Миронова</w:t>
      </w:r>
    </w:p>
    <w:p>
      <w:pPr>
        <w:pStyle w:val="Style5"/>
        <w:tabs>
          <w:tab w:leader="none" w:pos="10174" w:val="right"/>
          <w:tab w:leader="none" w:pos="10195"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Н.С.</w:t>
        <w:tab/>
        <w:t>Лушникова</w:t>
      </w:r>
    </w:p>
    <w:p>
      <w:pPr>
        <w:pStyle w:val="Style5"/>
        <w:widowControl w:val="0"/>
        <w:keepNext w:val="0"/>
        <w:keepLines w:val="0"/>
        <w:shd w:val="clear" w:color="auto" w:fill="auto"/>
        <w:bidi w:val="0"/>
        <w:spacing w:before="0" w:after="3231" w:line="638" w:lineRule="exact"/>
        <w:ind w:left="0" w:right="20" w:firstLine="0"/>
      </w:pPr>
      <w:r>
        <w:rPr>
          <w:lang w:val="ru-RU" w:eastAsia="ru-RU" w:bidi="ru-RU"/>
          <w:w w:val="100"/>
          <w:spacing w:val="0"/>
          <w:color w:val="000000"/>
          <w:position w:val="0"/>
        </w:rPr>
        <w:t>А.А. Матюшенко</w:t>
      </w:r>
    </w:p>
    <w:p>
      <w:pPr>
        <w:pStyle w:val="Style15"/>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Исп. Матюшенко А.А., 8(495) 784-75-05</w:t>
      </w:r>
    </w:p>
    <w:sectPr>
      <w:footnotePr>
        <w:pos w:val="pageBottom"/>
        <w:numFmt w:val="decimal"/>
        <w:numRestart w:val="continuous"/>
      </w:footnotePr>
      <w:type w:val="continuous"/>
      <w:pgSz w:w="11906" w:h="16838"/>
      <w:pgMar w:top="1394" w:left="843" w:right="819" w:bottom="75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 Курсив"/>
    <w:basedOn w:val="CharStyle6"/>
    <w:rPr>
      <w:lang w:val="ru-RU" w:eastAsia="ru-RU" w:bidi="ru-RU"/>
      <w:i/>
      <w:iCs/>
      <w:w w:val="100"/>
      <w:spacing w:val="0"/>
      <w:color w:val="000000"/>
      <w:position w:val="0"/>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6"/>
    <w:rPr>
      <w:lang w:val="ru-RU" w:eastAsia="ru-RU" w:bidi="ru-RU"/>
      <w:u w:val="single"/>
      <w:w w:val="100"/>
      <w:spacing w:val="0"/>
      <w:color w:val="000000"/>
      <w:position w:val="0"/>
    </w:rPr>
  </w:style>
  <w:style w:type="character" w:customStyle="1" w:styleId="CharStyle13">
    <w:name w:val="Основной текст + Курсив"/>
    <w:basedOn w:val="CharStyle6"/>
    <w:rPr>
      <w:lang w:val="ru-RU" w:eastAsia="ru-RU" w:bidi="ru-RU"/>
      <w:i/>
      <w:iCs/>
      <w:w w:val="100"/>
      <w:spacing w:val="0"/>
      <w:color w:val="000000"/>
      <w:position w:val="0"/>
    </w:rPr>
  </w:style>
  <w:style w:type="character" w:customStyle="1" w:styleId="CharStyle14">
    <w:name w:val="Основной текст"/>
    <w:basedOn w:val="CharStyle6"/>
    <w:rPr>
      <w:lang w:val="ru-RU" w:eastAsia="ru-RU" w:bidi="ru-RU"/>
      <w:w w:val="100"/>
      <w:spacing w:val="0"/>
      <w:color w:val="000000"/>
      <w:position w:val="0"/>
    </w:rPr>
  </w:style>
  <w:style w:type="character" w:customStyle="1" w:styleId="CharStyle16">
    <w:name w:val="Основной текст (3)_"/>
    <w:basedOn w:val="DefaultParagraphFont"/>
    <w:link w:val="Style15"/>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line="6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540" w:line="322" w:lineRule="exact"/>
      <w:ind w:firstLine="434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jc w:val="both"/>
      <w:spacing w:before="288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